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C650AF" w:rsidRDefault="00E13E6B" w:rsidP="00531D1E">
      <w:pPr>
        <w:ind w:left="2835" w:right="1843" w:hanging="992"/>
        <w:jc w:val="both"/>
        <w:rPr>
          <w:rFonts w:ascii="Tahoma" w:hAnsi="Tahoma" w:cs="Tahoma"/>
          <w:i/>
          <w:sz w:val="16"/>
          <w:szCs w:val="16"/>
        </w:rPr>
      </w:pPr>
      <w:r w:rsidRPr="00C650AF">
        <w:rPr>
          <w:rFonts w:ascii="Tahoma" w:hAnsi="Tahoma" w:cs="Tahoma"/>
          <w:b/>
          <w:i/>
          <w:sz w:val="16"/>
          <w:szCs w:val="16"/>
        </w:rPr>
        <w:t xml:space="preserve">Sumilla: </w:t>
      </w:r>
      <w:r w:rsidR="005E6E6D" w:rsidRPr="00C650AF">
        <w:rPr>
          <w:rFonts w:ascii="Tahoma" w:hAnsi="Tahoma" w:cs="Tahoma"/>
          <w:b/>
          <w:i/>
          <w:sz w:val="16"/>
          <w:szCs w:val="16"/>
        </w:rPr>
        <w:t xml:space="preserve"> </w:t>
      </w:r>
      <w:r w:rsidR="00076C20" w:rsidRPr="00C650AF">
        <w:rPr>
          <w:rFonts w:ascii="Tahoma" w:hAnsi="Tahoma" w:cs="Tahoma"/>
          <w:b/>
          <w:i/>
          <w:sz w:val="16"/>
          <w:szCs w:val="16"/>
        </w:rPr>
        <w:t xml:space="preserve"> </w:t>
      </w:r>
      <w:r w:rsidR="00635F2E" w:rsidRPr="00C650AF">
        <w:rPr>
          <w:rFonts w:ascii="Tahoma" w:hAnsi="Tahoma" w:cs="Tahoma"/>
          <w:b/>
          <w:i/>
          <w:sz w:val="16"/>
          <w:szCs w:val="16"/>
        </w:rPr>
        <w:t>“</w:t>
      </w:r>
      <w:r w:rsidR="00C650AF" w:rsidRPr="00C650AF">
        <w:rPr>
          <w:rFonts w:ascii="Tahoma" w:hAnsi="Tahoma" w:cs="Tahoma"/>
          <w:i/>
          <w:sz w:val="16"/>
          <w:szCs w:val="16"/>
        </w:rPr>
        <w:t>Así, también, cabe recalcar que de acuerdo a lo establecido por la norma aplicable, las controversias que surjan entre las partes sobre la ejecución, interpretación, resolución, inexistencia, ineficacia o invalidez del contrato se resolverán mediante conciliación y/o arbitraje, según el acuerdo de las partes, siendo que la parte que se tiene por afectada, tiene el derecho de solicitar su inicio</w:t>
      </w:r>
      <w:r w:rsidR="00635F2E" w:rsidRPr="00C650AF">
        <w:rPr>
          <w:rFonts w:ascii="Tahoma" w:hAnsi="Tahoma" w:cs="Tahoma"/>
          <w:i/>
          <w:sz w:val="16"/>
          <w:szCs w:val="16"/>
        </w:rPr>
        <w:t>”.</w:t>
      </w:r>
    </w:p>
    <w:p w:rsidR="00E13E6B" w:rsidRPr="00C650AF" w:rsidRDefault="00E13E6B" w:rsidP="00E13E6B">
      <w:pPr>
        <w:ind w:left="2268" w:right="1843"/>
        <w:jc w:val="both"/>
        <w:rPr>
          <w:rFonts w:ascii="Tahoma" w:hAnsi="Tahoma" w:cs="Tahoma"/>
          <w:b/>
          <w:i/>
          <w:sz w:val="20"/>
          <w:szCs w:val="20"/>
          <w:highlight w:val="yellow"/>
        </w:rPr>
      </w:pPr>
    </w:p>
    <w:p w:rsidR="00E13E6B" w:rsidRPr="00C650AF" w:rsidRDefault="00E13E6B" w:rsidP="00E13E6B">
      <w:pPr>
        <w:pStyle w:val="Textoindependiente3"/>
        <w:ind w:left="4956" w:firstLine="708"/>
        <w:jc w:val="both"/>
        <w:rPr>
          <w:rFonts w:ascii="Tahoma" w:hAnsi="Tahoma" w:cs="Tahoma"/>
        </w:rPr>
      </w:pPr>
      <w:r w:rsidRPr="00C650AF">
        <w:rPr>
          <w:rFonts w:ascii="Tahoma" w:hAnsi="Tahoma" w:cs="Tahoma"/>
        </w:rPr>
        <w:t xml:space="preserve">Lima, </w:t>
      </w:r>
      <w:r w:rsidR="009E650D">
        <w:rPr>
          <w:rFonts w:ascii="Tahoma" w:hAnsi="Tahoma" w:cs="Tahoma"/>
        </w:rPr>
        <w:t>27 de Julio de 2011</w:t>
      </w:r>
    </w:p>
    <w:p w:rsidR="00E13E6B" w:rsidRPr="00C650AF" w:rsidRDefault="00E13E6B" w:rsidP="00E13E6B">
      <w:pPr>
        <w:pStyle w:val="Textoindependiente3"/>
        <w:jc w:val="both"/>
        <w:rPr>
          <w:rFonts w:ascii="Tahoma" w:hAnsi="Tahoma" w:cs="Tahoma"/>
          <w:b w:val="0"/>
          <w:lang w:val="es-ES"/>
        </w:rPr>
      </w:pPr>
    </w:p>
    <w:p w:rsidR="00E13E6B" w:rsidRPr="00C650AF" w:rsidRDefault="00E13E6B" w:rsidP="00E13E6B">
      <w:pPr>
        <w:ind w:firstLine="708"/>
        <w:jc w:val="both"/>
        <w:rPr>
          <w:rFonts w:ascii="Tahoma" w:hAnsi="Tahoma" w:cs="Tahoma"/>
          <w:sz w:val="20"/>
          <w:szCs w:val="20"/>
        </w:rPr>
      </w:pPr>
      <w:r w:rsidRPr="00C650AF">
        <w:rPr>
          <w:rFonts w:ascii="Tahoma" w:hAnsi="Tahoma" w:cs="Tahoma"/>
          <w:b/>
          <w:sz w:val="20"/>
          <w:szCs w:val="20"/>
        </w:rPr>
        <w:t>VISTO,</w:t>
      </w:r>
      <w:r w:rsidRPr="00C650AF">
        <w:rPr>
          <w:rFonts w:ascii="Tahoma" w:hAnsi="Tahoma" w:cs="Tahoma"/>
          <w:sz w:val="20"/>
          <w:szCs w:val="20"/>
        </w:rPr>
        <w:t xml:space="preserve"> en sesión de fecha </w:t>
      </w:r>
      <w:r w:rsidR="004F4E97" w:rsidRPr="00C650AF">
        <w:rPr>
          <w:rFonts w:ascii="Tahoma" w:hAnsi="Tahoma" w:cs="Tahoma"/>
          <w:sz w:val="20"/>
          <w:szCs w:val="20"/>
        </w:rPr>
        <w:t>25</w:t>
      </w:r>
      <w:r w:rsidR="00050A76" w:rsidRPr="00C650AF">
        <w:rPr>
          <w:rFonts w:ascii="Tahoma" w:hAnsi="Tahoma" w:cs="Tahoma"/>
          <w:sz w:val="20"/>
          <w:szCs w:val="20"/>
        </w:rPr>
        <w:t xml:space="preserve"> de julio</w:t>
      </w:r>
      <w:r w:rsidR="00D43251" w:rsidRPr="00C650AF">
        <w:rPr>
          <w:rFonts w:ascii="Tahoma" w:hAnsi="Tahoma" w:cs="Tahoma"/>
          <w:sz w:val="20"/>
          <w:szCs w:val="20"/>
        </w:rPr>
        <w:t xml:space="preserve"> </w:t>
      </w:r>
      <w:r w:rsidR="00531D1E" w:rsidRPr="00C650AF">
        <w:rPr>
          <w:rFonts w:ascii="Tahoma" w:hAnsi="Tahoma" w:cs="Tahoma"/>
          <w:sz w:val="20"/>
          <w:szCs w:val="20"/>
        </w:rPr>
        <w:t>de 2011</w:t>
      </w:r>
      <w:r w:rsidRPr="00C650AF">
        <w:rPr>
          <w:rFonts w:ascii="Tahoma" w:hAnsi="Tahoma" w:cs="Tahoma"/>
          <w:sz w:val="20"/>
          <w:szCs w:val="20"/>
        </w:rPr>
        <w:t xml:space="preserve"> de la </w:t>
      </w:r>
      <w:r w:rsidR="001776B6" w:rsidRPr="00C650AF">
        <w:rPr>
          <w:rFonts w:ascii="Tahoma" w:hAnsi="Tahoma" w:cs="Tahoma"/>
          <w:sz w:val="20"/>
          <w:szCs w:val="20"/>
        </w:rPr>
        <w:t>Primera</w:t>
      </w:r>
      <w:r w:rsidRPr="00C650AF">
        <w:rPr>
          <w:rFonts w:ascii="Tahoma" w:hAnsi="Tahoma" w:cs="Tahoma"/>
          <w:sz w:val="20"/>
          <w:szCs w:val="20"/>
        </w:rPr>
        <w:t xml:space="preserve"> Sala del Tribunal de Contrataciones del Estado el Expediente № </w:t>
      </w:r>
      <w:r w:rsidR="00C650AF">
        <w:rPr>
          <w:rFonts w:ascii="Tahoma" w:hAnsi="Tahoma" w:cs="Tahoma"/>
          <w:sz w:val="20"/>
          <w:szCs w:val="20"/>
        </w:rPr>
        <w:t>137</w:t>
      </w:r>
      <w:r w:rsidR="00531D1E" w:rsidRPr="00C650AF">
        <w:rPr>
          <w:rFonts w:ascii="Tahoma" w:hAnsi="Tahoma" w:cs="Tahoma"/>
          <w:sz w:val="20"/>
          <w:szCs w:val="20"/>
        </w:rPr>
        <w:t>/20</w:t>
      </w:r>
      <w:r w:rsidR="00222218" w:rsidRPr="00C650AF">
        <w:rPr>
          <w:rFonts w:ascii="Tahoma" w:hAnsi="Tahoma" w:cs="Tahoma"/>
          <w:sz w:val="20"/>
          <w:szCs w:val="20"/>
        </w:rPr>
        <w:t>1</w:t>
      </w:r>
      <w:r w:rsidR="00A31AA8">
        <w:rPr>
          <w:rFonts w:ascii="Tahoma" w:hAnsi="Tahoma" w:cs="Tahoma"/>
          <w:sz w:val="20"/>
          <w:szCs w:val="20"/>
        </w:rPr>
        <w:t>1</w:t>
      </w:r>
      <w:r w:rsidRPr="00C650AF">
        <w:rPr>
          <w:rFonts w:ascii="Tahoma" w:hAnsi="Tahoma" w:cs="Tahoma"/>
          <w:sz w:val="20"/>
          <w:szCs w:val="20"/>
        </w:rPr>
        <w:t>.TC, sobre procedimiento administrativo sancionador contra</w:t>
      </w:r>
      <w:r w:rsidR="00140241" w:rsidRPr="00C650AF">
        <w:rPr>
          <w:rFonts w:ascii="Tahoma" w:hAnsi="Tahoma" w:cs="Tahoma"/>
          <w:sz w:val="20"/>
          <w:szCs w:val="20"/>
        </w:rPr>
        <w:t xml:space="preserve"> </w:t>
      </w:r>
      <w:r w:rsidR="004F4E97" w:rsidRPr="00C650AF">
        <w:rPr>
          <w:rFonts w:ascii="Tahoma" w:hAnsi="Tahoma" w:cs="Tahoma"/>
          <w:sz w:val="20"/>
          <w:szCs w:val="20"/>
        </w:rPr>
        <w:t xml:space="preserve">el </w:t>
      </w:r>
      <w:r w:rsidR="00A31AA8" w:rsidRPr="00A31AA8">
        <w:rPr>
          <w:rFonts w:ascii="Tahoma" w:hAnsi="Tahoma" w:cs="Tahoma"/>
          <w:sz w:val="20"/>
          <w:szCs w:val="20"/>
        </w:rPr>
        <w:t>Consorcio conformado por las empresas JV SECURITY S.A.C. y SCARGO SECURITY S.A.C.</w:t>
      </w:r>
      <w:r w:rsidR="00A31AA8">
        <w:rPr>
          <w:rFonts w:ascii="Tahoma" w:hAnsi="Tahoma" w:cs="Tahoma"/>
          <w:sz w:val="20"/>
          <w:szCs w:val="20"/>
        </w:rPr>
        <w:t xml:space="preserve"> </w:t>
      </w:r>
      <w:r w:rsidRPr="00C650AF">
        <w:rPr>
          <w:rFonts w:ascii="Tahoma" w:hAnsi="Tahoma" w:cs="Tahoma"/>
          <w:sz w:val="20"/>
          <w:szCs w:val="20"/>
        </w:rPr>
        <w:t xml:space="preserve">por supuesta responsabilidad en la resolución </w:t>
      </w:r>
      <w:r w:rsidR="00076C20" w:rsidRPr="00C650AF">
        <w:rPr>
          <w:rFonts w:ascii="Tahoma" w:hAnsi="Tahoma" w:cs="Tahoma"/>
          <w:sz w:val="20"/>
          <w:szCs w:val="20"/>
        </w:rPr>
        <w:t>de</w:t>
      </w:r>
      <w:r w:rsidR="00D66D64" w:rsidRPr="00C650AF">
        <w:rPr>
          <w:rFonts w:ascii="Tahoma" w:hAnsi="Tahoma" w:cs="Tahoma"/>
          <w:sz w:val="20"/>
          <w:szCs w:val="20"/>
        </w:rPr>
        <w:t>l</w:t>
      </w:r>
      <w:r w:rsidR="00076C20" w:rsidRPr="00C650AF">
        <w:rPr>
          <w:rFonts w:ascii="Tahoma" w:hAnsi="Tahoma" w:cs="Tahoma"/>
          <w:sz w:val="20"/>
          <w:szCs w:val="20"/>
        </w:rPr>
        <w:t xml:space="preserve"> </w:t>
      </w:r>
      <w:r w:rsidR="00050A76" w:rsidRPr="00C650AF">
        <w:rPr>
          <w:rFonts w:ascii="Tahoma" w:hAnsi="Tahoma" w:cs="Tahoma"/>
          <w:sz w:val="20"/>
          <w:szCs w:val="20"/>
        </w:rPr>
        <w:t>Contrato</w:t>
      </w:r>
      <w:r w:rsidR="004F4E97" w:rsidRPr="00C650AF">
        <w:rPr>
          <w:rFonts w:ascii="Tahoma" w:hAnsi="Tahoma" w:cs="Tahoma"/>
          <w:sz w:val="20"/>
          <w:szCs w:val="20"/>
        </w:rPr>
        <w:t xml:space="preserve"> </w:t>
      </w:r>
      <w:r w:rsidR="00A31AA8" w:rsidRPr="00A31AA8">
        <w:rPr>
          <w:rFonts w:ascii="Tahoma" w:hAnsi="Tahoma" w:cs="Tahoma"/>
          <w:sz w:val="20"/>
          <w:szCs w:val="20"/>
        </w:rPr>
        <w:t>№ 005-DL-IGP/2010</w:t>
      </w:r>
      <w:r w:rsidR="004F4E97" w:rsidRPr="00C650AF">
        <w:rPr>
          <w:rFonts w:ascii="Tahoma" w:hAnsi="Tahoma" w:cs="Tahoma"/>
          <w:sz w:val="20"/>
          <w:szCs w:val="20"/>
        </w:rPr>
        <w:t xml:space="preserve">, </w:t>
      </w:r>
      <w:r w:rsidR="00822C2F" w:rsidRPr="00C650AF">
        <w:rPr>
          <w:rFonts w:ascii="Tahoma" w:hAnsi="Tahoma" w:cs="Tahoma"/>
          <w:sz w:val="20"/>
          <w:szCs w:val="20"/>
        </w:rPr>
        <w:t xml:space="preserve">por causa atribuible a </w:t>
      </w:r>
      <w:r w:rsidR="00050A76" w:rsidRPr="00C650AF">
        <w:rPr>
          <w:rFonts w:ascii="Tahoma" w:hAnsi="Tahoma" w:cs="Tahoma"/>
          <w:sz w:val="20"/>
          <w:szCs w:val="20"/>
        </w:rPr>
        <w:t>ell</w:t>
      </w:r>
      <w:r w:rsidR="004F4E97" w:rsidRPr="00C650AF">
        <w:rPr>
          <w:rFonts w:ascii="Tahoma" w:hAnsi="Tahoma" w:cs="Tahoma"/>
          <w:sz w:val="20"/>
          <w:szCs w:val="20"/>
        </w:rPr>
        <w:t>os, derivado d</w:t>
      </w:r>
      <w:r w:rsidR="00A31AA8">
        <w:rPr>
          <w:rFonts w:ascii="Tahoma" w:hAnsi="Tahoma" w:cs="Tahoma"/>
          <w:sz w:val="20"/>
          <w:szCs w:val="20"/>
        </w:rPr>
        <w:t xml:space="preserve">el </w:t>
      </w:r>
      <w:r w:rsidR="00A31AA8" w:rsidRPr="00A31AA8">
        <w:rPr>
          <w:rFonts w:ascii="Tahoma" w:hAnsi="Tahoma" w:cs="Tahoma"/>
          <w:sz w:val="20"/>
          <w:szCs w:val="20"/>
        </w:rPr>
        <w:t>Concurso Público № 001-2010/IGP</w:t>
      </w:r>
      <w:r w:rsidR="00050A76" w:rsidRPr="00C650AF">
        <w:rPr>
          <w:rFonts w:ascii="Tahoma" w:hAnsi="Tahoma" w:cs="Tahoma"/>
          <w:sz w:val="20"/>
          <w:szCs w:val="20"/>
        </w:rPr>
        <w:t>,</w:t>
      </w:r>
      <w:r w:rsidR="00D43251" w:rsidRPr="00C650AF">
        <w:rPr>
          <w:rFonts w:ascii="Tahoma" w:hAnsi="Tahoma" w:cs="Tahoma"/>
          <w:sz w:val="20"/>
          <w:szCs w:val="20"/>
        </w:rPr>
        <w:t xml:space="preserve"> </w:t>
      </w:r>
      <w:r w:rsidR="008422E3" w:rsidRPr="00C650AF">
        <w:rPr>
          <w:rFonts w:ascii="Tahoma" w:hAnsi="Tahoma" w:cs="Tahoma"/>
          <w:sz w:val="20"/>
          <w:szCs w:val="20"/>
        </w:rPr>
        <w:t>primera</w:t>
      </w:r>
      <w:r w:rsidR="00D43251" w:rsidRPr="00C650AF">
        <w:rPr>
          <w:rFonts w:ascii="Tahoma" w:hAnsi="Tahoma" w:cs="Tahoma"/>
          <w:sz w:val="20"/>
          <w:szCs w:val="20"/>
        </w:rPr>
        <w:t xml:space="preserve"> convocatoria</w:t>
      </w:r>
      <w:r w:rsidRPr="00C650AF">
        <w:rPr>
          <w:rFonts w:ascii="Tahoma" w:hAnsi="Tahoma" w:cs="Tahoma"/>
          <w:sz w:val="20"/>
          <w:szCs w:val="20"/>
        </w:rPr>
        <w:t xml:space="preserve">, </w:t>
      </w:r>
      <w:r w:rsidR="00A31AA8">
        <w:rPr>
          <w:rFonts w:ascii="Tahoma" w:hAnsi="Tahoma" w:cs="Tahoma"/>
          <w:sz w:val="20"/>
          <w:szCs w:val="20"/>
        </w:rPr>
        <w:t>realizado</w:t>
      </w:r>
      <w:r w:rsidR="00D43251" w:rsidRPr="00C650AF">
        <w:rPr>
          <w:rFonts w:ascii="Tahoma" w:hAnsi="Tahoma" w:cs="Tahoma"/>
          <w:sz w:val="20"/>
          <w:szCs w:val="20"/>
        </w:rPr>
        <w:t xml:space="preserve"> por </w:t>
      </w:r>
      <w:r w:rsidR="00A31AA8" w:rsidRPr="00A31AA8">
        <w:rPr>
          <w:rFonts w:ascii="Tahoma" w:hAnsi="Tahoma" w:cs="Tahoma"/>
          <w:sz w:val="20"/>
          <w:szCs w:val="20"/>
        </w:rPr>
        <w:t>el Instituto Geofísico del Perú</w:t>
      </w:r>
      <w:r w:rsidR="00797C9F" w:rsidRPr="00C650AF">
        <w:rPr>
          <w:rFonts w:ascii="Tahoma" w:hAnsi="Tahoma" w:cs="Tahoma"/>
          <w:sz w:val="20"/>
          <w:szCs w:val="20"/>
        </w:rPr>
        <w:t xml:space="preserve">, para </w:t>
      </w:r>
      <w:r w:rsidR="00A31AA8" w:rsidRPr="00A31AA8">
        <w:rPr>
          <w:rFonts w:ascii="Tahoma" w:hAnsi="Tahoma" w:cs="Tahoma"/>
          <w:sz w:val="20"/>
          <w:szCs w:val="20"/>
        </w:rPr>
        <w:t>la “Contratación del Servicio de Vigilancia para las Sedes de la Entidad”</w:t>
      </w:r>
      <w:r w:rsidRPr="00C650AF">
        <w:rPr>
          <w:rFonts w:ascii="Tahoma" w:hAnsi="Tahoma" w:cs="Tahoma"/>
          <w:sz w:val="20"/>
          <w:szCs w:val="20"/>
        </w:rPr>
        <w:t xml:space="preserve">, y; atendiendo a los siguientes:  </w:t>
      </w:r>
    </w:p>
    <w:p w:rsidR="00E13E6B" w:rsidRPr="00C650AF" w:rsidRDefault="00E13E6B" w:rsidP="00E13E6B">
      <w:pPr>
        <w:ind w:right="45"/>
        <w:jc w:val="both"/>
        <w:rPr>
          <w:rFonts w:ascii="Tahoma" w:hAnsi="Tahoma" w:cs="Tahoma"/>
          <w:b/>
          <w:sz w:val="20"/>
          <w:szCs w:val="20"/>
        </w:rPr>
      </w:pPr>
    </w:p>
    <w:p w:rsidR="00E13E6B" w:rsidRPr="00C650AF" w:rsidRDefault="00E13E6B" w:rsidP="00E13E6B">
      <w:pPr>
        <w:ind w:firstLine="567"/>
        <w:jc w:val="both"/>
        <w:rPr>
          <w:rFonts w:ascii="Tahoma" w:hAnsi="Tahoma" w:cs="Tahoma"/>
          <w:b/>
          <w:sz w:val="20"/>
          <w:szCs w:val="20"/>
        </w:rPr>
      </w:pPr>
      <w:r w:rsidRPr="00C650AF">
        <w:rPr>
          <w:rFonts w:ascii="Tahoma" w:hAnsi="Tahoma" w:cs="Tahoma"/>
          <w:b/>
          <w:sz w:val="20"/>
          <w:szCs w:val="20"/>
        </w:rPr>
        <w:t>ANTECEDENTES:</w:t>
      </w:r>
    </w:p>
    <w:p w:rsidR="00E13E6B" w:rsidRPr="00C650AF" w:rsidRDefault="00E13E6B" w:rsidP="00E13E6B">
      <w:pPr>
        <w:ind w:left="426"/>
        <w:jc w:val="both"/>
        <w:rPr>
          <w:rFonts w:ascii="Tahoma" w:hAnsi="Tahoma" w:cs="Tahoma"/>
          <w:b/>
          <w:bCs/>
          <w:shadow/>
          <w:sz w:val="20"/>
          <w:szCs w:val="20"/>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lang w:val="es-PE"/>
        </w:rPr>
      </w:pPr>
      <w:r w:rsidRPr="00C650AF">
        <w:rPr>
          <w:rFonts w:ascii="Tahoma" w:hAnsi="Tahoma" w:cs="Tahoma"/>
          <w:sz w:val="20"/>
          <w:szCs w:val="20"/>
        </w:rPr>
        <w:t xml:space="preserve">El 03 de febrero de 2010, el Instituto Geofísico del Perú, en adelante la Entidad, convocó al Concurso Público № 001-2010/IGP, </w:t>
      </w:r>
      <w:r w:rsidRPr="00C650AF">
        <w:rPr>
          <w:rFonts w:ascii="Tahoma" w:eastAsiaTheme="minorHAnsi" w:hAnsi="Tahoma" w:cs="Tahoma"/>
          <w:sz w:val="20"/>
          <w:szCs w:val="20"/>
          <w:lang w:eastAsia="en-US"/>
        </w:rPr>
        <w:t>proceso de selección ajo el ámbito del Decreto de Urgencia № 078-2009</w:t>
      </w:r>
      <w:r w:rsidRPr="00C650AF">
        <w:rPr>
          <w:rFonts w:ascii="Tahoma" w:hAnsi="Tahoma" w:cs="Tahoma"/>
          <w:sz w:val="20"/>
          <w:szCs w:val="20"/>
        </w:rPr>
        <w:t>, primera convocatoria, según relación de ítems, para la “Contratación del Servicio de Vigilancia para las Sedes de la Entidad”, bajo el sistema de suma alzada y por un valor referencial ascendente a S/. 320 325.36 (Trescientos veinte mil trescientos veinte y cinco con 36/100) nuevos soles, incluido el Impuesto General a las Ventas (I.G.V.).</w:t>
      </w:r>
    </w:p>
    <w:p w:rsidR="00C650AF" w:rsidRPr="00C650AF" w:rsidRDefault="00C650AF" w:rsidP="00C650AF">
      <w:pPr>
        <w:ind w:left="540"/>
        <w:jc w:val="both"/>
        <w:rPr>
          <w:rFonts w:ascii="Tahoma" w:hAnsi="Tahoma" w:cs="Tahoma"/>
          <w:sz w:val="20"/>
          <w:szCs w:val="20"/>
          <w:lang w:val="es-PE"/>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lang w:val="es-PE"/>
        </w:rPr>
      </w:pPr>
      <w:r w:rsidRPr="00C650AF">
        <w:rPr>
          <w:rFonts w:ascii="Tahoma" w:hAnsi="Tahoma" w:cs="Tahoma"/>
          <w:sz w:val="20"/>
          <w:szCs w:val="20"/>
        </w:rPr>
        <w:t>Como resultado del proceso de selección, el 24 de febrero de 2010, el Comité Especial otorgó la Buena Pro del ítem № 01 (servicios de vigilancia en la ciudad de Lima) al Consorcio conformado por las empresas JV SECURITY S.A.C. y SCARGO SECURITY S.A.C., por su oferta económica ascendente a S/. 201 288.02.</w:t>
      </w:r>
    </w:p>
    <w:p w:rsidR="00C650AF" w:rsidRPr="00C650AF" w:rsidRDefault="00C650AF" w:rsidP="00C650AF">
      <w:pPr>
        <w:pStyle w:val="Prrafodelista"/>
        <w:rPr>
          <w:rFonts w:ascii="Tahoma" w:hAnsi="Tahoma" w:cs="Tahoma"/>
          <w:lang w:val="es-PE"/>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lang w:val="es-PE"/>
        </w:rPr>
      </w:pPr>
      <w:r w:rsidRPr="00C650AF">
        <w:rPr>
          <w:rFonts w:ascii="Tahoma" w:hAnsi="Tahoma" w:cs="Tahoma"/>
          <w:sz w:val="20"/>
          <w:szCs w:val="20"/>
        </w:rPr>
        <w:t>El 17 de marzo de 2010, la Entidad y el Consorcio conformado por las empresas JV SECURITY S.A.C. y SCARGO SECURITY S.A.C.,</w:t>
      </w:r>
      <w:r w:rsidRPr="00C650AF">
        <w:rPr>
          <w:rFonts w:ascii="Tahoma" w:hAnsi="Tahoma" w:cs="Tahoma"/>
          <w:sz w:val="20"/>
          <w:szCs w:val="20"/>
          <w:lang w:val="es-PE"/>
        </w:rPr>
        <w:t xml:space="preserve"> en lo sucesivo el Consorcio, suscribieron el Contrato № 005-DL-IGP/2010, para la contratación del servicio de vigilancia para la sede de Lima</w:t>
      </w:r>
      <w:r w:rsidRPr="00C650AF">
        <w:rPr>
          <w:rFonts w:ascii="Tahoma" w:hAnsi="Tahoma" w:cs="Tahoma"/>
          <w:sz w:val="20"/>
          <w:szCs w:val="20"/>
        </w:rPr>
        <w:t>, por el monto de S/. 201 188.02</w:t>
      </w:r>
      <w:r w:rsidRPr="00C650AF">
        <w:rPr>
          <w:rFonts w:ascii="Tahoma" w:hAnsi="Tahoma" w:cs="Tahoma"/>
          <w:bCs/>
          <w:sz w:val="20"/>
          <w:szCs w:val="20"/>
        </w:rPr>
        <w:t>, y con un plazo de ejecución contractual que a tenor de la Cláusula Quinta se extendía desde el 22 de marzo de 2010 hasta el 22 de marzo del 2011.</w:t>
      </w:r>
    </w:p>
    <w:p w:rsidR="00C650AF" w:rsidRPr="00C650AF" w:rsidRDefault="00C650AF" w:rsidP="00C650AF">
      <w:pPr>
        <w:pStyle w:val="Prrafodelista"/>
        <w:rPr>
          <w:rFonts w:ascii="Tahoma" w:hAnsi="Tahoma" w:cs="Tahoma"/>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lang w:val="es-PE"/>
        </w:rPr>
      </w:pPr>
      <w:r w:rsidRPr="00C650AF">
        <w:rPr>
          <w:rFonts w:ascii="Tahoma" w:hAnsi="Tahoma" w:cs="Tahoma"/>
          <w:sz w:val="20"/>
          <w:szCs w:val="20"/>
        </w:rPr>
        <w:t>Con Carta Notarial de fecha 30 de noviembre de 2010, diligenciada el 02 de diciembre del mismo año</w:t>
      </w:r>
      <w:r w:rsidRPr="00C650AF">
        <w:rPr>
          <w:rFonts w:ascii="Tahoma" w:hAnsi="Tahoma" w:cs="Tahoma"/>
          <w:sz w:val="20"/>
          <w:szCs w:val="20"/>
          <w:lang w:val="es-PE"/>
        </w:rPr>
        <w:t>, la Entidad otorgó al Consorcio el plazo de cinco (05) días para que cumpla con sus obligaciones contractuales, y de ser el caso tome las acciones pertinentes de las irregularidades acaecidas en el Contrato № 005-DL-IGP/2010, referido entre otros, a que el personal de seguridad no cumple con los horarios de vigilancia; bajo apercibimiento de proceder a la resolución contractual.</w:t>
      </w:r>
    </w:p>
    <w:p w:rsidR="00C650AF" w:rsidRPr="00C650AF" w:rsidRDefault="00C650AF" w:rsidP="00C650AF">
      <w:pPr>
        <w:pStyle w:val="Prrafodelista"/>
        <w:rPr>
          <w:rFonts w:ascii="Tahoma" w:hAnsi="Tahoma" w:cs="Tahoma"/>
          <w:lang w:val="es-PE"/>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lang w:val="es-PE"/>
        </w:rPr>
      </w:pPr>
      <w:r w:rsidRPr="00C650AF">
        <w:rPr>
          <w:rFonts w:ascii="Tahoma" w:hAnsi="Tahoma" w:cs="Tahoma"/>
          <w:sz w:val="20"/>
          <w:szCs w:val="20"/>
        </w:rPr>
        <w:t xml:space="preserve">A través de la Carta Notarial de fecha 13 de diciembre de 2010, diligenciada el 14 del mismo mes y año, la Entidad comunicó al Consorcio la resolución del vinculo contractual, </w:t>
      </w:r>
      <w:r w:rsidRPr="00C650AF">
        <w:rPr>
          <w:rFonts w:ascii="Tahoma" w:hAnsi="Tahoma" w:cs="Tahoma"/>
          <w:sz w:val="20"/>
          <w:szCs w:val="20"/>
        </w:rPr>
        <w:lastRenderedPageBreak/>
        <w:t xml:space="preserve">atendiendo a la Resolución de Presidencia № 317-IGP/2010, la misma que dispuso resolver el </w:t>
      </w:r>
      <w:r w:rsidRPr="00C650AF">
        <w:rPr>
          <w:rFonts w:ascii="Tahoma" w:hAnsi="Tahoma" w:cs="Tahoma"/>
          <w:sz w:val="20"/>
          <w:szCs w:val="20"/>
          <w:lang w:val="es-PE"/>
        </w:rPr>
        <w:t>Contrato № 005-DL-IGP/2010</w:t>
      </w:r>
      <w:r w:rsidRPr="00C650AF">
        <w:rPr>
          <w:rFonts w:ascii="Tahoma" w:hAnsi="Tahoma" w:cs="Tahoma"/>
          <w:sz w:val="20"/>
          <w:szCs w:val="20"/>
        </w:rPr>
        <w:t>, por causal atribuible a su parte.</w:t>
      </w:r>
    </w:p>
    <w:p w:rsidR="00C650AF" w:rsidRPr="00C650AF" w:rsidRDefault="00C650AF" w:rsidP="00C650AF">
      <w:pPr>
        <w:pStyle w:val="Prrafodelista"/>
        <w:rPr>
          <w:rFonts w:ascii="Tahoma" w:hAnsi="Tahoma" w:cs="Tahoma"/>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rPr>
      </w:pPr>
      <w:r w:rsidRPr="00C650AF">
        <w:rPr>
          <w:rFonts w:ascii="Tahoma" w:hAnsi="Tahoma" w:cs="Tahoma"/>
          <w:sz w:val="20"/>
          <w:szCs w:val="20"/>
          <w:lang w:val="es-PE"/>
        </w:rPr>
        <w:t xml:space="preserve">El 03 de febrero de 2011, mediante escrito, la Entidad </w:t>
      </w:r>
      <w:r w:rsidRPr="00C650AF">
        <w:rPr>
          <w:rFonts w:ascii="Tahoma" w:hAnsi="Tahoma" w:cs="Tahoma"/>
          <w:sz w:val="20"/>
          <w:szCs w:val="20"/>
        </w:rPr>
        <w:t>puso en conocimiento del Tribunal de Contrataciones del Estado, en lo sucesivo el Tribunal, la supuesta responsabilidad del Consorcio por la resolución del Contrato № 005-DL-IGP/2010 de fecha 17 de marzo de 2010. Para tal efecto, remitió el Informe Técnico Legal № 001-2011/IGP-AJ de fecha 25 de enero de 2011, en la cual indicó que a la fecha no existe proceso arbitral u otro mecanismo que se haya iniciado.</w:t>
      </w:r>
    </w:p>
    <w:p w:rsidR="00C650AF" w:rsidRPr="00C650AF" w:rsidRDefault="00C650AF" w:rsidP="00C650AF">
      <w:pPr>
        <w:pStyle w:val="Prrafodelista"/>
        <w:rPr>
          <w:rFonts w:ascii="Tahoma" w:hAnsi="Tahoma" w:cs="Tahoma"/>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rPr>
      </w:pPr>
      <w:r w:rsidRPr="00C650AF">
        <w:rPr>
          <w:rFonts w:ascii="Tahoma" w:hAnsi="Tahoma" w:cs="Tahoma"/>
          <w:sz w:val="20"/>
          <w:szCs w:val="20"/>
        </w:rPr>
        <w:t xml:space="preserve">Mediante decreto de fecha 08 de febrero de 2011, notificado el 20 de abril del mismo año, previamente al inicio del procedimiento administrativo sancionador, el Tribunal requirió a la Entidad que remitiera, la carta notarial de resolución del contrato, debidamente diligenciada vía notaria. </w:t>
      </w:r>
    </w:p>
    <w:p w:rsidR="00C650AF" w:rsidRPr="00C650AF" w:rsidRDefault="00C650AF" w:rsidP="00C650AF">
      <w:pPr>
        <w:pStyle w:val="Prrafodelista"/>
        <w:rPr>
          <w:rFonts w:ascii="Tahoma" w:hAnsi="Tahoma" w:cs="Tahoma"/>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rPr>
      </w:pPr>
      <w:r w:rsidRPr="00C650AF">
        <w:rPr>
          <w:rFonts w:ascii="Tahoma" w:hAnsi="Tahoma" w:cs="Tahoma"/>
          <w:sz w:val="20"/>
          <w:szCs w:val="20"/>
        </w:rPr>
        <w:t>En atención a ello, mediante Oficio № 30-AJ-IGO/2011 presentado el 27 de abril de 2011, la Entidad cumplió con remitir la documentación solicitada por el Tribunal.</w:t>
      </w:r>
    </w:p>
    <w:p w:rsidR="00C650AF" w:rsidRPr="00C650AF" w:rsidRDefault="00C650AF" w:rsidP="00C650AF">
      <w:pPr>
        <w:ind w:left="540"/>
        <w:jc w:val="both"/>
        <w:rPr>
          <w:rFonts w:ascii="Tahoma" w:hAnsi="Tahoma" w:cs="Tahoma"/>
          <w:sz w:val="20"/>
          <w:szCs w:val="20"/>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lang w:val="es-PE"/>
        </w:rPr>
      </w:pPr>
      <w:r w:rsidRPr="00C650AF">
        <w:rPr>
          <w:rFonts w:ascii="Tahoma" w:hAnsi="Tahoma" w:cs="Tahoma"/>
          <w:sz w:val="20"/>
          <w:szCs w:val="20"/>
        </w:rPr>
        <w:t xml:space="preserve">Con decreto de fecha 03 de mayo de 2011, el Tribunal inició el procedimiento administrativo sancionador contra los integrantes del Consorcio por su supuesta responsabilidad en la resolución del </w:t>
      </w:r>
      <w:r w:rsidRPr="00C650AF">
        <w:rPr>
          <w:rFonts w:ascii="Tahoma" w:hAnsi="Tahoma" w:cs="Tahoma"/>
          <w:sz w:val="20"/>
          <w:szCs w:val="20"/>
          <w:lang w:val="es-PE"/>
        </w:rPr>
        <w:t>Contrato № 005-DL-IGP/2010</w:t>
      </w:r>
      <w:r w:rsidRPr="00C650AF">
        <w:rPr>
          <w:rFonts w:ascii="Tahoma" w:hAnsi="Tahoma" w:cs="Tahoma"/>
          <w:sz w:val="20"/>
          <w:szCs w:val="20"/>
        </w:rPr>
        <w:t>de fecha 17 de marzo de 2010, derivado del Concurso Público № 001-2010/IGP, proceso de selección bajo el ámbito del Decreto de Urgencia № 078-2009, por causal atribuible a su parte, infracción tipificada en el literal b) del numeral 51.1 del artículo 51 de la Ley en concordancia con el literal b) del numeral 1) del artículo 237 del Reglamento. Asimismo, se le requirió para que en el plazo de diez (10) días hábiles cumpliera con presentar su escrito de descargos.</w:t>
      </w:r>
    </w:p>
    <w:p w:rsidR="00C650AF" w:rsidRPr="00C650AF" w:rsidRDefault="00C650AF" w:rsidP="00C650AF">
      <w:pPr>
        <w:pStyle w:val="Prrafodelista"/>
        <w:rPr>
          <w:rFonts w:ascii="Tahoma" w:hAnsi="Tahoma" w:cs="Tahoma"/>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lang w:val="es-PE"/>
        </w:rPr>
      </w:pPr>
      <w:r w:rsidRPr="00C650AF">
        <w:rPr>
          <w:rFonts w:ascii="Tahoma" w:hAnsi="Tahoma" w:cs="Tahoma"/>
          <w:sz w:val="20"/>
          <w:szCs w:val="20"/>
        </w:rPr>
        <w:t>Mediante escrito presentado el 27 de junio de 2011, la empresa JV SECURITY S.A.C. integrante del Consorcio presentó su escrito de descargos, en el cual manifestó que estando la solicitud de imposición de sanción administrativa efectuada por la Entidad directamente relacionada con la materia sometida a arbitraje, resulta pertinente suspender el presente procedimiento administrativo sancionador, hasta que se emita el laudo arbitral correspondiente.</w:t>
      </w:r>
    </w:p>
    <w:p w:rsidR="00C650AF" w:rsidRPr="00C650AF" w:rsidRDefault="00C650AF" w:rsidP="00C650AF">
      <w:pPr>
        <w:pStyle w:val="Prrafodelista"/>
        <w:rPr>
          <w:rFonts w:ascii="Tahoma" w:hAnsi="Tahoma" w:cs="Tahoma"/>
          <w:lang w:val="es-PE"/>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lang w:val="es-PE"/>
        </w:rPr>
      </w:pPr>
      <w:r w:rsidRPr="00C650AF">
        <w:rPr>
          <w:rFonts w:ascii="Tahoma" w:hAnsi="Tahoma" w:cs="Tahoma"/>
          <w:sz w:val="20"/>
          <w:szCs w:val="20"/>
          <w:lang w:val="es-PE"/>
        </w:rPr>
        <w:t xml:space="preserve">Con escritos presentados el 27 y 30 de junio de 2011, la empresa </w:t>
      </w:r>
      <w:r w:rsidRPr="00C650AF">
        <w:rPr>
          <w:rFonts w:ascii="Tahoma" w:hAnsi="Tahoma" w:cs="Tahoma"/>
          <w:sz w:val="20"/>
          <w:szCs w:val="20"/>
        </w:rPr>
        <w:t xml:space="preserve">SCARGO SECURITY S.A.C. integrante del Consorcio solicitó la individualización del infractor, de conformidad a los dispuesto en el artículo 239 del Reglamento, toda vez que su representada tenía la obligación de aportar experiencia y apoyo administrativo y logístico, siendo que, su otrora consorciada, la empresa JV SECURITY S.A.C. se encargaría de la prestación del servicio, así como del cumplimiento contractual del contrato. </w:t>
      </w:r>
    </w:p>
    <w:p w:rsidR="00C650AF" w:rsidRPr="00C650AF" w:rsidRDefault="00C650AF" w:rsidP="00C650AF">
      <w:pPr>
        <w:pStyle w:val="Prrafodelista"/>
        <w:rPr>
          <w:rFonts w:ascii="Tahoma" w:hAnsi="Tahoma" w:cs="Tahoma"/>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lang w:val="es-PE"/>
        </w:rPr>
      </w:pPr>
      <w:r w:rsidRPr="00C650AF">
        <w:rPr>
          <w:rFonts w:ascii="Tahoma" w:hAnsi="Tahoma" w:cs="Tahoma"/>
          <w:sz w:val="20"/>
          <w:szCs w:val="20"/>
        </w:rPr>
        <w:t>Con decreto de fecha 05 de julio de 2011, se tuvo por apersonados a los integrantes del Consorcio a la instancia administrativa, y se remitió el expediente a la Primera Sala del Tribunal para que resolviera.</w:t>
      </w:r>
    </w:p>
    <w:p w:rsidR="00C650AF" w:rsidRPr="00C650AF" w:rsidRDefault="00C650AF" w:rsidP="00C650AF">
      <w:pPr>
        <w:pStyle w:val="Prrafodelista"/>
        <w:rPr>
          <w:rFonts w:ascii="Tahoma" w:eastAsia="Calibri" w:hAnsi="Tahoma" w:cs="Tahoma"/>
          <w:lang w:val="es-PE" w:eastAsia="en-US"/>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lang w:val="es-PE"/>
        </w:rPr>
      </w:pPr>
      <w:r w:rsidRPr="00C650AF">
        <w:rPr>
          <w:rFonts w:ascii="Tahoma" w:hAnsi="Tahoma" w:cs="Tahoma"/>
          <w:sz w:val="20"/>
          <w:szCs w:val="20"/>
          <w:lang w:val="es-PE" w:eastAsia="en-US"/>
        </w:rPr>
        <w:t xml:space="preserve">Mediante decreto de fecha 11 de julio de 2011, se requirió a la Dirección de Arbitraje Administrativo del OSCE, se sirva </w:t>
      </w:r>
      <w:r w:rsidRPr="00C650AF">
        <w:rPr>
          <w:rFonts w:ascii="Tahoma" w:hAnsi="Tahoma" w:cs="Tahoma"/>
          <w:color w:val="000000"/>
          <w:sz w:val="20"/>
          <w:szCs w:val="20"/>
          <w:lang w:val="es-ES_tradnl"/>
        </w:rPr>
        <w:t xml:space="preserve">informar, de ser posible documentadamente, sobre el estado actual en el que se encontraba el proceso arbitral seguido entre la Entidad y el </w:t>
      </w:r>
      <w:r w:rsidRPr="00C650AF">
        <w:rPr>
          <w:rFonts w:ascii="Tahoma" w:hAnsi="Tahoma" w:cs="Tahoma"/>
          <w:color w:val="000000"/>
          <w:sz w:val="20"/>
          <w:szCs w:val="20"/>
          <w:lang w:val="es-ES_tradnl"/>
        </w:rPr>
        <w:lastRenderedPageBreak/>
        <w:t>Consorcio. Así, también, a efecto de mejor resolver, se solicitó la misma información a la Entidad y el Contratista.</w:t>
      </w:r>
    </w:p>
    <w:p w:rsidR="00C650AF" w:rsidRPr="00C650AF" w:rsidRDefault="00C650AF" w:rsidP="00C650AF">
      <w:pPr>
        <w:pStyle w:val="Prrafodelista"/>
        <w:rPr>
          <w:rFonts w:ascii="Tahoma" w:eastAsia="Calibri" w:hAnsi="Tahoma" w:cs="Tahoma"/>
          <w:lang w:val="es-PE" w:eastAsia="en-US"/>
        </w:rPr>
      </w:pPr>
    </w:p>
    <w:p w:rsidR="00C650AF" w:rsidRPr="00C650AF" w:rsidRDefault="00C650AF" w:rsidP="00C650AF">
      <w:pPr>
        <w:numPr>
          <w:ilvl w:val="0"/>
          <w:numId w:val="11"/>
        </w:numPr>
        <w:tabs>
          <w:tab w:val="clear" w:pos="596"/>
          <w:tab w:val="num" w:pos="540"/>
        </w:tabs>
        <w:ind w:left="540" w:hanging="540"/>
        <w:jc w:val="both"/>
        <w:rPr>
          <w:rFonts w:ascii="Tahoma" w:hAnsi="Tahoma" w:cs="Tahoma"/>
          <w:sz w:val="20"/>
          <w:szCs w:val="20"/>
          <w:lang w:val="es-PE"/>
        </w:rPr>
      </w:pPr>
      <w:r w:rsidRPr="00C650AF">
        <w:rPr>
          <w:rFonts w:ascii="Tahoma" w:hAnsi="Tahoma" w:cs="Tahoma"/>
          <w:sz w:val="20"/>
          <w:szCs w:val="20"/>
          <w:lang w:val="es-PE"/>
        </w:rPr>
        <w:t xml:space="preserve">A través del Memorándum № 264-2011/DAA-CCC presentado el 18 de julio de 2011, la Directora de Arbitraje Administrativo del OSCE </w:t>
      </w:r>
      <w:r w:rsidRPr="00C650AF">
        <w:rPr>
          <w:rFonts w:ascii="Tahoma" w:hAnsi="Tahoma" w:cs="Tahoma"/>
          <w:sz w:val="20"/>
          <w:szCs w:val="20"/>
        </w:rPr>
        <w:t xml:space="preserve">indicó que actualmente existe en trámite un proceso arbitral, </w:t>
      </w:r>
      <w:r w:rsidRPr="00C650AF">
        <w:rPr>
          <w:rFonts w:ascii="Tahoma" w:hAnsi="Tahoma" w:cs="Tahoma"/>
          <w:bCs/>
          <w:sz w:val="20"/>
          <w:szCs w:val="20"/>
        </w:rPr>
        <w:t xml:space="preserve">siendo que el 11 de julio de 2011 se realizó la Audiencia de Instalación del Árbitro Único, suscribiéndose el Acta № 1271-2011, firmado por </w:t>
      </w:r>
      <w:r w:rsidRPr="00C650AF">
        <w:rPr>
          <w:rFonts w:ascii="Tahoma" w:hAnsi="Tahoma" w:cs="Tahoma"/>
          <w:sz w:val="20"/>
          <w:szCs w:val="20"/>
        </w:rPr>
        <w:t>la Entidad y el Consorcio, referido a la resolución del contrato de la referencia.</w:t>
      </w:r>
    </w:p>
    <w:p w:rsidR="006E5571" w:rsidRPr="00C650AF" w:rsidRDefault="006E5571" w:rsidP="00E13E6B">
      <w:pPr>
        <w:pStyle w:val="Textoindependiente"/>
        <w:tabs>
          <w:tab w:val="left" w:pos="-2340"/>
          <w:tab w:val="left" w:pos="540"/>
        </w:tabs>
        <w:spacing w:after="0"/>
        <w:ind w:left="180" w:hanging="180"/>
        <w:jc w:val="both"/>
        <w:rPr>
          <w:rFonts w:ascii="Tahoma" w:hAnsi="Tahoma" w:cs="Tahoma"/>
          <w:b/>
          <w:sz w:val="20"/>
          <w:szCs w:val="20"/>
          <w:lang w:val="es-PE"/>
        </w:rPr>
      </w:pPr>
    </w:p>
    <w:p w:rsidR="00E13E6B" w:rsidRPr="00C650AF" w:rsidRDefault="00E13E6B" w:rsidP="00E13E6B">
      <w:pPr>
        <w:pStyle w:val="Textoindependiente"/>
        <w:tabs>
          <w:tab w:val="left" w:pos="-2340"/>
          <w:tab w:val="left" w:pos="540"/>
        </w:tabs>
        <w:spacing w:after="0"/>
        <w:ind w:left="180" w:hanging="180"/>
        <w:jc w:val="both"/>
        <w:rPr>
          <w:rFonts w:ascii="Tahoma" w:hAnsi="Tahoma" w:cs="Tahoma"/>
          <w:b/>
          <w:sz w:val="20"/>
          <w:szCs w:val="20"/>
        </w:rPr>
      </w:pPr>
      <w:r w:rsidRPr="00C650AF">
        <w:rPr>
          <w:rFonts w:ascii="Tahoma" w:hAnsi="Tahoma" w:cs="Tahoma"/>
          <w:b/>
          <w:sz w:val="20"/>
          <w:szCs w:val="20"/>
        </w:rPr>
        <w:tab/>
      </w:r>
      <w:r w:rsidRPr="00C650AF">
        <w:rPr>
          <w:rFonts w:ascii="Tahoma" w:hAnsi="Tahoma" w:cs="Tahoma"/>
          <w:b/>
          <w:sz w:val="20"/>
          <w:szCs w:val="20"/>
        </w:rPr>
        <w:tab/>
        <w:t>FUNDAMENTACIÓN:</w:t>
      </w:r>
    </w:p>
    <w:p w:rsidR="00E13E6B" w:rsidRPr="00C650AF" w:rsidRDefault="00E13E6B" w:rsidP="00E13E6B">
      <w:pPr>
        <w:pStyle w:val="Sangradetextonormal"/>
        <w:spacing w:after="0"/>
        <w:ind w:left="0"/>
        <w:jc w:val="both"/>
        <w:rPr>
          <w:rFonts w:ascii="Tahoma" w:hAnsi="Tahoma" w:cs="Tahoma"/>
          <w:sz w:val="20"/>
          <w:szCs w:val="20"/>
        </w:rPr>
      </w:pPr>
    </w:p>
    <w:p w:rsidR="00C650AF" w:rsidRPr="00C650AF" w:rsidRDefault="00C650AF" w:rsidP="00C650AF">
      <w:pPr>
        <w:pStyle w:val="Prrafodelista"/>
        <w:numPr>
          <w:ilvl w:val="0"/>
          <w:numId w:val="4"/>
        </w:numPr>
        <w:ind w:left="567" w:hanging="567"/>
        <w:jc w:val="both"/>
        <w:rPr>
          <w:rFonts w:ascii="Tahoma" w:hAnsi="Tahoma" w:cs="Tahoma"/>
        </w:rPr>
      </w:pPr>
      <w:r w:rsidRPr="00C650AF">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C650AF" w:rsidRPr="00C650AF" w:rsidRDefault="00C650AF" w:rsidP="00C650AF">
      <w:pPr>
        <w:pStyle w:val="Prrafodelista"/>
        <w:ind w:left="567"/>
        <w:rPr>
          <w:rFonts w:ascii="Tahoma" w:hAnsi="Tahoma" w:cs="Tahoma"/>
        </w:rPr>
      </w:pPr>
    </w:p>
    <w:p w:rsidR="00C650AF" w:rsidRPr="00C650AF" w:rsidRDefault="00C650AF" w:rsidP="00C650AF">
      <w:pPr>
        <w:pStyle w:val="Prrafodelista"/>
        <w:numPr>
          <w:ilvl w:val="0"/>
          <w:numId w:val="4"/>
        </w:numPr>
        <w:ind w:left="567" w:hanging="567"/>
        <w:jc w:val="both"/>
        <w:rPr>
          <w:rFonts w:ascii="Tahoma" w:hAnsi="Tahoma" w:cs="Tahoma"/>
        </w:rPr>
      </w:pPr>
      <w:r w:rsidRPr="00C650AF">
        <w:rPr>
          <w:rFonts w:ascii="Tahoma" w:hAnsi="Tahoma" w:cs="Tahoma"/>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C650AF">
        <w:rPr>
          <w:rFonts w:ascii="Tahoma" w:hAnsi="Tahoma" w:cs="Tahoma"/>
          <w:lang w:val="es-MX"/>
        </w:rPr>
        <w:t>51 y 52 de la Ley de Contrataciones del Estado,</w:t>
      </w:r>
      <w:r w:rsidRPr="00C650AF">
        <w:rPr>
          <w:rFonts w:ascii="Tahoma" w:hAnsi="Tahoma" w:cs="Tahoma"/>
        </w:rPr>
        <w:t xml:space="preserve"> aprobada mediante Decreto Legislativo № 1017,</w:t>
      </w:r>
      <w:r w:rsidRPr="00C650AF">
        <w:rPr>
          <w:rFonts w:ascii="Tahoma" w:hAnsi="Tahoma" w:cs="Tahoma"/>
          <w:lang w:val="es-MX"/>
        </w:rPr>
        <w:t xml:space="preserve"> y en los casos expresamente previstos en el artículo 237 de su Reglamento, aprobado mediante Decreto Supremo </w:t>
      </w:r>
      <w:r w:rsidRPr="00C650AF">
        <w:rPr>
          <w:rFonts w:ascii="Tahoma" w:hAnsi="Tahoma" w:cs="Tahoma"/>
        </w:rPr>
        <w:t>№ 184-2008-EF, normas aplicables al momento de la presunta comisión de la infracción;</w:t>
      </w:r>
      <w:r w:rsidRPr="00C650AF">
        <w:rPr>
          <w:rFonts w:ascii="Tahoma" w:hAnsi="Tahoma" w:cs="Tahoma"/>
          <w:lang w:val="es-MX"/>
        </w:rPr>
        <w:t xml:space="preserve"> sin perjuicio de las acciones legales que correspondan adoptar a las Entidades, dentro de sus respectivas atribuciones, en salvaguarda de sus intereses</w:t>
      </w:r>
      <w:r w:rsidRPr="00C650AF">
        <w:rPr>
          <w:rFonts w:ascii="Tahoma" w:hAnsi="Tahoma" w:cs="Tahoma"/>
        </w:rPr>
        <w:t>.</w:t>
      </w:r>
    </w:p>
    <w:p w:rsidR="00C650AF" w:rsidRPr="00C650AF" w:rsidRDefault="00C650AF" w:rsidP="00C650AF">
      <w:pPr>
        <w:pStyle w:val="Prrafodelista"/>
        <w:rPr>
          <w:rFonts w:ascii="Tahoma" w:hAnsi="Tahoma" w:cs="Tahoma"/>
        </w:rPr>
      </w:pPr>
    </w:p>
    <w:p w:rsidR="00C650AF" w:rsidRPr="00C650AF" w:rsidRDefault="00C650AF" w:rsidP="00C650AF">
      <w:pPr>
        <w:pStyle w:val="Prrafodelista"/>
        <w:numPr>
          <w:ilvl w:val="0"/>
          <w:numId w:val="4"/>
        </w:numPr>
        <w:ind w:left="567" w:hanging="567"/>
        <w:jc w:val="both"/>
        <w:rPr>
          <w:rFonts w:ascii="Tahoma" w:hAnsi="Tahoma" w:cs="Tahoma"/>
        </w:rPr>
      </w:pPr>
      <w:r w:rsidRPr="00C650AF">
        <w:rPr>
          <w:rFonts w:ascii="Tahoma" w:hAnsi="Tahoma" w:cs="Tahoma"/>
        </w:rPr>
        <w:t>El presente caso está referido a la supuesta responsabilidad del Consorcio por el incumplimiento injustificado de las obligaciones del Contrato № 005-DL-IGP/2010 del 17 de marzo de 2010, derivado de la Concurso Público № 001-2010/IGP, primera convocatoria, supuesto de hecho del tipo legal previsto en el literal b) del numeral 51.1 del artículo 51 de la Ley</w:t>
      </w:r>
      <w:r w:rsidRPr="00C650AF">
        <w:rPr>
          <w:rStyle w:val="Refdenotaalpie"/>
          <w:rFonts w:ascii="Tahoma" w:eastAsia="Calibri" w:hAnsi="Tahoma" w:cs="Tahoma"/>
        </w:rPr>
        <w:footnoteReference w:id="2"/>
      </w:r>
      <w:r w:rsidRPr="00C650AF">
        <w:rPr>
          <w:rFonts w:ascii="Tahoma" w:hAnsi="Tahoma" w:cs="Tahoma"/>
        </w:rPr>
        <w:t xml:space="preserve"> en concordancia con el literal b) del numeral 1) del artículo 237 del Reglamento</w:t>
      </w:r>
      <w:r w:rsidRPr="00C650AF">
        <w:rPr>
          <w:rStyle w:val="Refdenotaalpie"/>
          <w:rFonts w:ascii="Tahoma" w:eastAsia="Calibri" w:hAnsi="Tahoma" w:cs="Tahoma"/>
        </w:rPr>
        <w:footnoteReference w:id="3"/>
      </w:r>
      <w:r w:rsidRPr="00C650AF">
        <w:rPr>
          <w:rFonts w:ascii="Tahoma" w:hAnsi="Tahoma" w:cs="Tahoma"/>
        </w:rPr>
        <w:t>, normas vigentes al momento de suscitado el hecho imputado.</w:t>
      </w:r>
    </w:p>
    <w:p w:rsidR="00C650AF" w:rsidRPr="00C650AF" w:rsidRDefault="00C650AF" w:rsidP="00C650AF">
      <w:pPr>
        <w:pStyle w:val="Prrafodelista"/>
        <w:rPr>
          <w:rFonts w:ascii="Tahoma" w:hAnsi="Tahoma" w:cs="Tahoma"/>
        </w:rPr>
      </w:pPr>
    </w:p>
    <w:p w:rsidR="00C650AF" w:rsidRPr="00C650AF" w:rsidRDefault="00C650AF" w:rsidP="00C650AF">
      <w:pPr>
        <w:pStyle w:val="Prrafodelista"/>
        <w:numPr>
          <w:ilvl w:val="0"/>
          <w:numId w:val="4"/>
        </w:numPr>
        <w:ind w:left="567" w:hanging="567"/>
        <w:jc w:val="both"/>
        <w:rPr>
          <w:rFonts w:ascii="Tahoma" w:hAnsi="Tahoma" w:cs="Tahoma"/>
        </w:rPr>
      </w:pPr>
      <w:r w:rsidRPr="00C650AF">
        <w:rPr>
          <w:rFonts w:ascii="Tahoma" w:hAnsi="Tahoma" w:cs="Tahoma"/>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p>
    <w:p w:rsidR="00C650AF" w:rsidRPr="00C650AF" w:rsidRDefault="00C650AF" w:rsidP="00C650AF">
      <w:pPr>
        <w:pStyle w:val="Prrafodelista"/>
        <w:ind w:left="567"/>
        <w:rPr>
          <w:rFonts w:ascii="Tahoma" w:hAnsi="Tahoma" w:cs="Tahoma"/>
        </w:rPr>
      </w:pPr>
    </w:p>
    <w:p w:rsidR="00C650AF" w:rsidRPr="00C650AF" w:rsidRDefault="00C650AF" w:rsidP="00C650AF">
      <w:pPr>
        <w:pStyle w:val="Prrafodelista"/>
        <w:numPr>
          <w:ilvl w:val="0"/>
          <w:numId w:val="4"/>
        </w:numPr>
        <w:ind w:left="567" w:hanging="567"/>
        <w:jc w:val="both"/>
        <w:rPr>
          <w:rFonts w:ascii="Tahoma" w:hAnsi="Tahoma" w:cs="Tahoma"/>
        </w:rPr>
      </w:pPr>
      <w:r w:rsidRPr="00C650AF">
        <w:rPr>
          <w:rFonts w:ascii="Tahoma" w:hAnsi="Tahoma" w:cs="Tahoma"/>
        </w:rPr>
        <w:t xml:space="preserve">Sobre el particular, el literal c) del artículo 40 de la Ley, dispone que en caso de incumplimiento por parte del contratista de alguna de sus obligaciones, preliminarmente observada por la Entidad y que no haya sido subsanada, esta última podrá resolver en </w:t>
      </w:r>
      <w:r w:rsidRPr="00C650AF">
        <w:rPr>
          <w:rFonts w:ascii="Tahoma" w:hAnsi="Tahoma" w:cs="Tahoma"/>
        </w:rPr>
        <w:lastRenderedPageBreak/>
        <w:t>forma total o parcial el contrato, mediante el envío por vía notarial del documento en el que se manifieste esta decisión y el motivo que la justifica.</w:t>
      </w:r>
    </w:p>
    <w:p w:rsidR="00C650AF" w:rsidRPr="00C650AF" w:rsidRDefault="00C650AF" w:rsidP="00C650AF">
      <w:pPr>
        <w:pStyle w:val="Prrafodelista"/>
        <w:rPr>
          <w:rFonts w:ascii="Tahoma" w:hAnsi="Tahoma" w:cs="Tahoma"/>
        </w:rPr>
      </w:pPr>
    </w:p>
    <w:p w:rsidR="00C650AF" w:rsidRPr="00C650AF" w:rsidRDefault="00C650AF" w:rsidP="00C650AF">
      <w:pPr>
        <w:pStyle w:val="Prrafodelista"/>
        <w:numPr>
          <w:ilvl w:val="0"/>
          <w:numId w:val="4"/>
        </w:numPr>
        <w:ind w:left="567" w:hanging="567"/>
        <w:jc w:val="both"/>
        <w:rPr>
          <w:rFonts w:ascii="Tahoma" w:hAnsi="Tahoma" w:cs="Tahoma"/>
        </w:rPr>
      </w:pPr>
      <w:r w:rsidRPr="00C650AF">
        <w:rPr>
          <w:rFonts w:ascii="Tahoma" w:hAnsi="Tahoma" w:cs="Tahoma"/>
        </w:rPr>
        <w:t>En ese orden de ideas,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la ejecución de la prestación a su cargo; y 3) Paralice o reduzca injustificadamente la ejecución de la prestación, pese a haber sido requerido para corregir tal situación.</w:t>
      </w:r>
    </w:p>
    <w:p w:rsidR="00C650AF" w:rsidRPr="00C650AF" w:rsidRDefault="00C650AF" w:rsidP="00C650AF">
      <w:pPr>
        <w:pStyle w:val="Prrafodelista"/>
        <w:rPr>
          <w:rFonts w:ascii="Tahoma" w:hAnsi="Tahoma" w:cs="Tahoma"/>
        </w:rPr>
      </w:pPr>
    </w:p>
    <w:p w:rsidR="00C650AF" w:rsidRPr="00C650AF" w:rsidRDefault="00C650AF" w:rsidP="00C650AF">
      <w:pPr>
        <w:pStyle w:val="Prrafodelista"/>
        <w:numPr>
          <w:ilvl w:val="0"/>
          <w:numId w:val="4"/>
        </w:numPr>
        <w:ind w:left="567" w:hanging="567"/>
        <w:jc w:val="both"/>
        <w:rPr>
          <w:rFonts w:ascii="Tahoma" w:hAnsi="Tahoma" w:cs="Tahoma"/>
        </w:rPr>
      </w:pPr>
      <w:r w:rsidRPr="00C650AF">
        <w:rPr>
          <w:rFonts w:ascii="Tahoma" w:hAnsi="Tahoma" w:cs="Tahoma"/>
        </w:rPr>
        <w:t>Ahora bien, el procedimiento de resolución contractual, cuya observancia es condición necesaria para evaluar la existencia de eventuales responsabilidades de carácter administrativo, se encuentra previsto en el artículo 169 del Reglamento, según el cual en caso de incumplimiento contractual de una de las partes involucradas, la parte que resulte perjudicada con tal hecho requerirá a la otra notarialmente para que satisfaga sus obligaciones en un plazo no mayor de cinco (5) días, bajo apercibimiento de resolver el contrato. De continuar el incumplimiento contractual, la citada disposición reglamentaria precisa que la parte perjudicada comunicará notarialmente la resolución total o parcial del contrato. (el subrayado es nuestro)</w:t>
      </w:r>
    </w:p>
    <w:p w:rsidR="00C650AF" w:rsidRPr="00C650AF" w:rsidRDefault="00C650AF" w:rsidP="00C650AF">
      <w:pPr>
        <w:pStyle w:val="Prrafodelista"/>
        <w:rPr>
          <w:rFonts w:ascii="Tahoma" w:hAnsi="Tahoma" w:cs="Tahoma"/>
        </w:rPr>
      </w:pPr>
    </w:p>
    <w:p w:rsidR="00C650AF" w:rsidRPr="00C650AF" w:rsidRDefault="00C650AF" w:rsidP="00C650AF">
      <w:pPr>
        <w:pStyle w:val="Prrafodelista"/>
        <w:numPr>
          <w:ilvl w:val="0"/>
          <w:numId w:val="4"/>
        </w:numPr>
        <w:ind w:left="567" w:hanging="567"/>
        <w:jc w:val="both"/>
        <w:rPr>
          <w:rFonts w:ascii="Tahoma" w:hAnsi="Tahoma" w:cs="Tahoma"/>
        </w:rPr>
      </w:pPr>
      <w:r w:rsidRPr="00C650AF">
        <w:rPr>
          <w:rFonts w:ascii="Tahoma" w:hAnsi="Tahoma" w:cs="Tahoma"/>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C650AF" w:rsidRPr="00C650AF" w:rsidRDefault="00C650AF" w:rsidP="00C650AF">
      <w:pPr>
        <w:pStyle w:val="Prrafodelista"/>
        <w:rPr>
          <w:rFonts w:ascii="Tahoma" w:hAnsi="Tahoma" w:cs="Tahoma"/>
        </w:rPr>
      </w:pPr>
    </w:p>
    <w:p w:rsidR="00C650AF" w:rsidRPr="00C650AF" w:rsidRDefault="00C650AF" w:rsidP="00C650AF">
      <w:pPr>
        <w:pStyle w:val="Prrafodelista"/>
        <w:numPr>
          <w:ilvl w:val="0"/>
          <w:numId w:val="4"/>
        </w:numPr>
        <w:ind w:left="567" w:hanging="567"/>
        <w:jc w:val="both"/>
        <w:rPr>
          <w:rFonts w:ascii="Tahoma" w:hAnsi="Tahoma" w:cs="Tahoma"/>
        </w:rPr>
      </w:pPr>
      <w:r w:rsidRPr="00C650AF">
        <w:rPr>
          <w:rFonts w:ascii="Tahoma" w:hAnsi="Tahoma" w:cs="Tahoma"/>
        </w:rPr>
        <w:t>Este criterio, además, ha sido recogido en el Acuerdo de Sala Plena № 018/010 del 4 de setiembre de 2002</w:t>
      </w:r>
      <w:r w:rsidRPr="00C650AF">
        <w:rPr>
          <w:rStyle w:val="Refdenotaalpie"/>
          <w:rFonts w:ascii="Tahoma" w:eastAsia="Calibri" w:hAnsi="Tahoma" w:cs="Tahoma"/>
        </w:rPr>
        <w:footnoteReference w:id="4"/>
      </w:r>
      <w:r w:rsidRPr="00C650AF">
        <w:rPr>
          <w:rFonts w:ascii="Tahoma" w:hAnsi="Tahoma" w:cs="Tahoma"/>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 la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C650AF" w:rsidRPr="00C650AF" w:rsidRDefault="00C650AF" w:rsidP="00C650AF">
      <w:pPr>
        <w:pStyle w:val="Prrafodelista"/>
        <w:rPr>
          <w:rFonts w:ascii="Tahoma" w:hAnsi="Tahoma" w:cs="Tahoma"/>
        </w:rPr>
      </w:pPr>
    </w:p>
    <w:p w:rsidR="00C650AF" w:rsidRPr="00C650AF" w:rsidRDefault="00C650AF" w:rsidP="00C650AF">
      <w:pPr>
        <w:pStyle w:val="Prrafodelista"/>
        <w:numPr>
          <w:ilvl w:val="0"/>
          <w:numId w:val="4"/>
        </w:numPr>
        <w:ind w:left="567" w:hanging="567"/>
        <w:jc w:val="both"/>
        <w:rPr>
          <w:rFonts w:ascii="Tahoma" w:hAnsi="Tahoma" w:cs="Tahoma"/>
        </w:rPr>
      </w:pPr>
      <w:r w:rsidRPr="00C650AF">
        <w:rPr>
          <w:rFonts w:ascii="Tahoma" w:hAnsi="Tahoma" w:cs="Tahoma"/>
        </w:rPr>
        <w:t xml:space="preserve">De los antecedentes remitidos por la Entidad, se advierte que la Entidad requirió a la Consorcio, mediante Carta Notarial de fecha 30 de noviembre de 2010, diligenciada el 02 de diciembre del mismo año, a fin que cumpliera dentro del plazo de cinco (5) día </w:t>
      </w:r>
      <w:r w:rsidRPr="00C650AF">
        <w:rPr>
          <w:rFonts w:ascii="Tahoma" w:hAnsi="Tahoma" w:cs="Tahoma"/>
          <w:lang w:val="es-PE"/>
        </w:rPr>
        <w:t xml:space="preserve">con sus </w:t>
      </w:r>
      <w:r w:rsidRPr="00C650AF">
        <w:rPr>
          <w:rFonts w:ascii="Tahoma" w:hAnsi="Tahoma" w:cs="Tahoma"/>
          <w:lang w:val="es-PE"/>
        </w:rPr>
        <w:lastRenderedPageBreak/>
        <w:t>obligaciones contractuales, referido entre otros, a que el personal de seguridad no cumplía con los horarios de vigilancia; bajo apercibimiento de proceder a la resolución contractual.</w:t>
      </w:r>
    </w:p>
    <w:p w:rsidR="00C650AF" w:rsidRPr="00C650AF" w:rsidRDefault="00C650AF" w:rsidP="00C650AF">
      <w:pPr>
        <w:pStyle w:val="Prrafodelista"/>
        <w:rPr>
          <w:rFonts w:ascii="Tahoma" w:hAnsi="Tahoma" w:cs="Tahoma"/>
        </w:rPr>
      </w:pPr>
    </w:p>
    <w:p w:rsidR="00C650AF" w:rsidRPr="00C650AF" w:rsidRDefault="00C650AF" w:rsidP="00C650AF">
      <w:pPr>
        <w:pStyle w:val="Prrafodelista"/>
        <w:numPr>
          <w:ilvl w:val="0"/>
          <w:numId w:val="4"/>
        </w:numPr>
        <w:ind w:left="567" w:hanging="567"/>
        <w:jc w:val="both"/>
        <w:rPr>
          <w:rFonts w:ascii="Tahoma" w:hAnsi="Tahoma" w:cs="Tahoma"/>
        </w:rPr>
      </w:pPr>
      <w:r w:rsidRPr="00C650AF">
        <w:rPr>
          <w:rFonts w:ascii="Tahoma" w:hAnsi="Tahoma" w:cs="Tahoma"/>
        </w:rPr>
        <w:t>Asimismo, luego de persistir el Consorcio en su incumplimiento, a través de la Carta Notarial de fecha 13 de diciembre de 2010, diligenciada el 14 del mismo mes y año, la Entidad le comunicó la resolución del Contrato № 005-DL-IGP/2010, por causal atribuible a su parte.</w:t>
      </w:r>
    </w:p>
    <w:p w:rsidR="00C650AF" w:rsidRPr="00C650AF" w:rsidRDefault="00C650AF" w:rsidP="00C650AF">
      <w:pPr>
        <w:pStyle w:val="Prrafodelista"/>
        <w:rPr>
          <w:rFonts w:ascii="Tahoma" w:hAnsi="Tahoma" w:cs="Tahoma"/>
        </w:rPr>
      </w:pPr>
    </w:p>
    <w:p w:rsidR="00C650AF" w:rsidRPr="00C650AF" w:rsidRDefault="00C650AF" w:rsidP="00C650AF">
      <w:pPr>
        <w:pStyle w:val="Prrafodelista"/>
        <w:numPr>
          <w:ilvl w:val="0"/>
          <w:numId w:val="4"/>
        </w:numPr>
        <w:ind w:left="567" w:hanging="567"/>
        <w:jc w:val="both"/>
        <w:rPr>
          <w:rFonts w:ascii="Tahoma" w:hAnsi="Tahoma" w:cs="Tahoma"/>
        </w:rPr>
      </w:pPr>
      <w:r w:rsidRPr="00C650AF">
        <w:rPr>
          <w:rFonts w:ascii="Tahoma" w:hAnsi="Tahoma" w:cs="Tahoma"/>
        </w:rPr>
        <w:t xml:space="preserve">En tal sentido, se verifica que la Entidad ha observado la formalidad de comunicar con cartas notariales para la resolución del contrato, siendo la primera carta notarial de requerimiento al </w:t>
      </w:r>
      <w:r w:rsidRPr="00C650AF">
        <w:rPr>
          <w:rFonts w:ascii="Tahoma" w:hAnsi="Tahoma" w:cs="Tahoma"/>
          <w:bCs/>
        </w:rPr>
        <w:t>Consorcio p</w:t>
      </w:r>
      <w:r w:rsidRPr="00C650AF">
        <w:rPr>
          <w:rFonts w:ascii="Tahoma" w:hAnsi="Tahoma" w:cs="Tahoma"/>
        </w:rPr>
        <w:t>ara el cumplimiento de sus obligaciones y la segunda carta notarial de resolución del contrato.</w:t>
      </w:r>
    </w:p>
    <w:p w:rsidR="00C650AF" w:rsidRPr="00C650AF" w:rsidRDefault="00C650AF" w:rsidP="00C650AF">
      <w:pPr>
        <w:pStyle w:val="Prrafodelista"/>
        <w:rPr>
          <w:rFonts w:ascii="Tahoma" w:hAnsi="Tahoma" w:cs="Tahoma"/>
        </w:rPr>
      </w:pPr>
    </w:p>
    <w:p w:rsidR="00C650AF" w:rsidRPr="00C650AF" w:rsidRDefault="00C650AF" w:rsidP="00C650AF">
      <w:pPr>
        <w:pStyle w:val="Prrafodelista"/>
        <w:ind w:left="567"/>
        <w:rPr>
          <w:rFonts w:ascii="Tahoma" w:hAnsi="Tahoma" w:cs="Tahoma"/>
          <w:b/>
        </w:rPr>
      </w:pPr>
      <w:r w:rsidRPr="00C650AF">
        <w:rPr>
          <w:rFonts w:ascii="Tahoma" w:hAnsi="Tahoma" w:cs="Tahoma"/>
          <w:b/>
        </w:rPr>
        <w:t>Sobre la suspensión del procedimiento</w:t>
      </w:r>
    </w:p>
    <w:p w:rsidR="00C650AF" w:rsidRPr="00C650AF" w:rsidRDefault="00C650AF" w:rsidP="00C650AF">
      <w:pPr>
        <w:pStyle w:val="Prrafodelista"/>
        <w:ind w:left="567"/>
        <w:rPr>
          <w:rFonts w:ascii="Tahoma" w:hAnsi="Tahoma" w:cs="Tahoma"/>
          <w:b/>
        </w:rPr>
      </w:pPr>
    </w:p>
    <w:p w:rsidR="00A31AA8" w:rsidRDefault="00C650AF" w:rsidP="00A31AA8">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C650AF">
        <w:rPr>
          <w:rFonts w:ascii="Tahoma" w:hAnsi="Tahoma" w:cs="Tahoma"/>
          <w:sz w:val="20"/>
          <w:szCs w:val="20"/>
        </w:rPr>
        <w:t>Así, también, cabe recalcar que de acuerdo a lo establecido por la norma aplicable, las controversias que surjan entre las partes sobre la ejecución, interpretación, resolución, inexistencia, ineficacia o invalidez del contrato se resolverán mediante conciliación y/o arbitraje, según el acuerdo de las partes, siendo que la parte que se tiene por afectada, tiene el derecho de solicitar su inicio</w:t>
      </w:r>
      <w:r w:rsidRPr="00C650AF">
        <w:rPr>
          <w:rStyle w:val="Refdenotaalpie"/>
          <w:rFonts w:ascii="Tahoma" w:eastAsia="Calibri" w:hAnsi="Tahoma" w:cs="Tahoma"/>
          <w:sz w:val="20"/>
          <w:szCs w:val="20"/>
        </w:rPr>
        <w:footnoteReference w:id="5"/>
      </w:r>
      <w:r w:rsidRPr="00C650AF">
        <w:rPr>
          <w:rFonts w:ascii="Tahoma" w:hAnsi="Tahoma" w:cs="Tahoma"/>
          <w:sz w:val="20"/>
          <w:szCs w:val="20"/>
        </w:rPr>
        <w:t xml:space="preserve">.  </w:t>
      </w:r>
    </w:p>
    <w:p w:rsidR="00A31AA8" w:rsidRDefault="00A31AA8" w:rsidP="00A31AA8">
      <w:pPr>
        <w:pStyle w:val="msonormalcxspmiddle"/>
        <w:widowControl w:val="0"/>
        <w:suppressAutoHyphens/>
        <w:spacing w:before="0" w:beforeAutospacing="0" w:after="0" w:afterAutospacing="0"/>
        <w:ind w:left="567"/>
        <w:contextualSpacing/>
        <w:jc w:val="both"/>
        <w:rPr>
          <w:rFonts w:ascii="Tahoma" w:hAnsi="Tahoma" w:cs="Tahoma"/>
          <w:sz w:val="20"/>
          <w:szCs w:val="20"/>
        </w:rPr>
      </w:pPr>
    </w:p>
    <w:p w:rsidR="00A31AA8" w:rsidRDefault="00C650AF" w:rsidP="00A31AA8">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A31AA8">
        <w:rPr>
          <w:rFonts w:ascii="Tahoma" w:hAnsi="Tahoma" w:cs="Tahoma"/>
          <w:sz w:val="20"/>
          <w:szCs w:val="20"/>
        </w:rPr>
        <w:t>En esa medida, fluye de los actuados que la controversia generada a raíz de la resolución del Contrato № 005-DL-IGP/2010 fue sometida en su momento y a petición del Consorcio, en virtud de lo dispuesto en su Cláusula Vigésima Primera del citado contrato, a un proceso arbitral, a fin que se resuelva las controversias surgidas con motivo de la resolución del contrato antes mencionado.</w:t>
      </w:r>
    </w:p>
    <w:p w:rsidR="00A31AA8" w:rsidRDefault="00A31AA8" w:rsidP="00A31AA8">
      <w:pPr>
        <w:pStyle w:val="Prrafodelista"/>
        <w:rPr>
          <w:rFonts w:ascii="Tahoma" w:hAnsi="Tahoma" w:cs="Tahoma"/>
        </w:rPr>
      </w:pPr>
    </w:p>
    <w:p w:rsidR="00A31AA8" w:rsidRDefault="00C650AF" w:rsidP="00A31AA8">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A31AA8">
        <w:rPr>
          <w:rFonts w:ascii="Tahoma" w:hAnsi="Tahoma" w:cs="Tahoma"/>
          <w:sz w:val="20"/>
          <w:szCs w:val="20"/>
        </w:rPr>
        <w:t>Así, las cosas, resulta pertinente traer a colación lo esbozado por empresa JV SECURITY S.A.C. integrante del Consorcio con ocasión a la presentación de sus descargos, en el cual manifestó que estando la solicitud de imposición de sanción administrativa efectuada por la Entidad directamente relacionada con la materia sometida en sede a arbitraje, resulta pertinente suspender el presente procedimiento administrativo sancionador, hasta que se emita el laudo arbitral correspondiente.</w:t>
      </w:r>
    </w:p>
    <w:p w:rsidR="00A31AA8" w:rsidRDefault="00A31AA8" w:rsidP="00A31AA8">
      <w:pPr>
        <w:pStyle w:val="Prrafodelista"/>
        <w:rPr>
          <w:rFonts w:ascii="Tahoma" w:hAnsi="Tahoma" w:cs="Tahoma"/>
        </w:rPr>
      </w:pPr>
    </w:p>
    <w:p w:rsidR="00C650AF" w:rsidRPr="00A31AA8" w:rsidRDefault="00C650AF" w:rsidP="00A31AA8">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A31AA8">
        <w:rPr>
          <w:rFonts w:ascii="Tahoma" w:hAnsi="Tahoma" w:cs="Tahoma"/>
          <w:sz w:val="20"/>
          <w:szCs w:val="20"/>
        </w:rPr>
        <w:t xml:space="preserve">En ese sentido, en aplicación del </w:t>
      </w:r>
      <w:r w:rsidRPr="00A31AA8">
        <w:rPr>
          <w:rFonts w:ascii="Tahoma" w:hAnsi="Tahoma" w:cs="Tahoma"/>
          <w:i/>
          <w:sz w:val="20"/>
          <w:szCs w:val="20"/>
        </w:rPr>
        <w:t xml:space="preserve">Principio de Verdad Material, </w:t>
      </w:r>
      <w:r w:rsidRPr="00A31AA8">
        <w:rPr>
          <w:rFonts w:ascii="Tahoma" w:hAnsi="Tahoma" w:cs="Tahoma"/>
          <w:sz w:val="20"/>
          <w:szCs w:val="20"/>
        </w:rPr>
        <w:t xml:space="preserve">contemplado en el numeral 1.11 del Artículo IV del Título Preliminar de la Ley № 27444, y para mejor resolver, a través del decreto de fecha 11 de julio de 2011, el Tribunal requirió </w:t>
      </w:r>
      <w:r w:rsidRPr="00A31AA8">
        <w:rPr>
          <w:rFonts w:ascii="Tahoma" w:eastAsia="Calibri" w:hAnsi="Tahoma" w:cs="Tahoma"/>
          <w:sz w:val="20"/>
          <w:szCs w:val="20"/>
          <w:lang w:val="es-PE" w:eastAsia="en-US"/>
        </w:rPr>
        <w:t xml:space="preserve">a la Dirección de Arbitraje Administrativo del OSCE, se sirva </w:t>
      </w:r>
      <w:r w:rsidRPr="00A31AA8">
        <w:rPr>
          <w:rFonts w:ascii="Tahoma" w:hAnsi="Tahoma" w:cs="Tahoma"/>
          <w:color w:val="000000"/>
          <w:sz w:val="20"/>
          <w:szCs w:val="20"/>
          <w:lang w:val="es-ES_tradnl"/>
        </w:rPr>
        <w:t>informar, de ser posible documentadamente, sobre el estado actual en el que se encontraba el proceso arbitral seguido entre la Entidad y el Consorcio. Así, también, a efecto de mejor resolver, se solicitó la misma información a la Entidad y el Contratista.</w:t>
      </w:r>
    </w:p>
    <w:p w:rsidR="00C650AF" w:rsidRPr="00C650AF" w:rsidRDefault="00C650AF" w:rsidP="00C650AF">
      <w:pPr>
        <w:pStyle w:val="Prrafodelista"/>
        <w:rPr>
          <w:rFonts w:ascii="Tahoma" w:eastAsia="Calibri" w:hAnsi="Tahoma" w:cs="Tahoma"/>
          <w:lang w:val="es-PE" w:eastAsia="en-US"/>
        </w:rPr>
      </w:pPr>
    </w:p>
    <w:p w:rsidR="00C650AF" w:rsidRPr="00C650AF" w:rsidRDefault="00C650AF" w:rsidP="00C650AF">
      <w:pPr>
        <w:pStyle w:val="Textoindependiente"/>
        <w:widowControl w:val="0"/>
        <w:numPr>
          <w:ilvl w:val="0"/>
          <w:numId w:val="4"/>
        </w:numPr>
        <w:suppressAutoHyphens/>
        <w:spacing w:after="0"/>
        <w:ind w:left="540" w:hanging="567"/>
        <w:jc w:val="both"/>
        <w:rPr>
          <w:rFonts w:ascii="Tahoma" w:hAnsi="Tahoma" w:cs="Tahoma"/>
          <w:sz w:val="20"/>
          <w:szCs w:val="20"/>
        </w:rPr>
      </w:pPr>
      <w:r w:rsidRPr="00C650AF">
        <w:rPr>
          <w:rFonts w:ascii="Tahoma" w:hAnsi="Tahoma" w:cs="Tahoma"/>
          <w:sz w:val="20"/>
          <w:szCs w:val="20"/>
        </w:rPr>
        <w:t xml:space="preserve">En respuesta a ello, la Directora de Arbitraje Administrativo del OSCE, a través del </w:t>
      </w:r>
      <w:r w:rsidRPr="00C650AF">
        <w:rPr>
          <w:rFonts w:ascii="Tahoma" w:hAnsi="Tahoma" w:cs="Tahoma"/>
          <w:sz w:val="20"/>
          <w:szCs w:val="20"/>
        </w:rPr>
        <w:lastRenderedPageBreak/>
        <w:t xml:space="preserve">Memorándum № 264-2011/DAA-CCC, indicó que </w:t>
      </w:r>
      <w:r w:rsidRPr="00C650AF">
        <w:rPr>
          <w:rFonts w:ascii="Tahoma" w:hAnsi="Tahoma" w:cs="Tahoma"/>
          <w:bCs/>
          <w:sz w:val="20"/>
          <w:szCs w:val="20"/>
        </w:rPr>
        <w:t xml:space="preserve">el 11 de julio de 2011 se realizó la Audiencia de Instalación del Árbitro Único, suscribiéndose el Acta № 1271-2011, firmado por </w:t>
      </w:r>
      <w:r w:rsidRPr="00C650AF">
        <w:rPr>
          <w:rFonts w:ascii="Tahoma" w:hAnsi="Tahoma" w:cs="Tahoma"/>
          <w:sz w:val="20"/>
          <w:szCs w:val="20"/>
        </w:rPr>
        <w:t xml:space="preserve">la Entidad y el Consorcio, referido a la resolución del contrato de la referencia. </w:t>
      </w:r>
    </w:p>
    <w:p w:rsidR="00C650AF" w:rsidRPr="00C650AF" w:rsidRDefault="00C650AF" w:rsidP="00C650AF">
      <w:pPr>
        <w:pStyle w:val="Textoindependiente"/>
        <w:widowControl w:val="0"/>
        <w:suppressAutoHyphens/>
        <w:ind w:left="540"/>
        <w:rPr>
          <w:rFonts w:ascii="Tahoma" w:hAnsi="Tahoma" w:cs="Tahoma"/>
          <w:sz w:val="20"/>
          <w:szCs w:val="20"/>
        </w:rPr>
      </w:pPr>
    </w:p>
    <w:p w:rsidR="00A31AA8" w:rsidRDefault="00C650AF" w:rsidP="00A31AA8">
      <w:pPr>
        <w:pStyle w:val="Textoindependiente"/>
        <w:widowControl w:val="0"/>
        <w:numPr>
          <w:ilvl w:val="0"/>
          <w:numId w:val="4"/>
        </w:numPr>
        <w:suppressAutoHyphens/>
        <w:spacing w:after="0"/>
        <w:ind w:left="540" w:hanging="567"/>
        <w:jc w:val="both"/>
        <w:rPr>
          <w:rFonts w:ascii="Tahoma" w:hAnsi="Tahoma" w:cs="Tahoma"/>
          <w:sz w:val="20"/>
          <w:szCs w:val="20"/>
        </w:rPr>
      </w:pPr>
      <w:r w:rsidRPr="00C650AF">
        <w:rPr>
          <w:rFonts w:ascii="Tahoma" w:hAnsi="Tahoma" w:cs="Tahoma"/>
          <w:sz w:val="20"/>
          <w:szCs w:val="20"/>
        </w:rPr>
        <w:t>Al respecto, el numeral 2) del artículo 244 del Reglamento</w:t>
      </w:r>
      <w:r w:rsidRPr="00C650AF">
        <w:rPr>
          <w:rStyle w:val="Refdenotaalpie"/>
          <w:rFonts w:ascii="Tahoma" w:hAnsi="Tahoma" w:cs="Tahoma"/>
          <w:sz w:val="20"/>
          <w:szCs w:val="20"/>
        </w:rPr>
        <w:footnoteReference w:id="6"/>
      </w:r>
      <w:r w:rsidRPr="00C650AF">
        <w:rPr>
          <w:rFonts w:ascii="Tahoma" w:hAnsi="Tahoma" w:cs="Tahoma"/>
          <w:sz w:val="20"/>
          <w:szCs w:val="20"/>
        </w:rPr>
        <w:t xml:space="preserve"> establece que se suspenderá el plazo de prescripción por la tramitación de proceso judicial o arbitral que sea necesario para la determinación de la responsabilidad del proveedor, postor, contratista o experto independiente, en el respectivo procedimiento administrativo sancionador. En el caso de procesos arbítrales, se entenderá iniciada la tramitación a partir de la instalación del árbitro o tribunal arbitral.</w:t>
      </w:r>
    </w:p>
    <w:p w:rsidR="00A31AA8" w:rsidRDefault="00A31AA8" w:rsidP="00A31AA8">
      <w:pPr>
        <w:pStyle w:val="Prrafodelista"/>
        <w:rPr>
          <w:rFonts w:ascii="Tahoma" w:hAnsi="Tahoma" w:cs="Tahoma"/>
        </w:rPr>
      </w:pPr>
    </w:p>
    <w:p w:rsidR="00C650AF" w:rsidRPr="00A31AA8" w:rsidRDefault="00C650AF" w:rsidP="00A31AA8">
      <w:pPr>
        <w:pStyle w:val="Textoindependiente"/>
        <w:widowControl w:val="0"/>
        <w:suppressAutoHyphens/>
        <w:spacing w:after="0"/>
        <w:ind w:left="540"/>
        <w:jc w:val="both"/>
        <w:rPr>
          <w:rFonts w:ascii="Tahoma" w:hAnsi="Tahoma" w:cs="Tahoma"/>
          <w:sz w:val="20"/>
          <w:szCs w:val="20"/>
        </w:rPr>
      </w:pPr>
      <w:r w:rsidRPr="00A31AA8">
        <w:rPr>
          <w:rFonts w:ascii="Tahoma" w:hAnsi="Tahoma" w:cs="Tahoma"/>
          <w:sz w:val="20"/>
          <w:szCs w:val="20"/>
        </w:rPr>
        <w:t>En tales supuestos, la suspensión del plazo surtirá efectos con la resolución del Tribunal que así lo determine, y en tanto dicho órgano no sea comunicado de la sentencia judicial o laudo que dé término al proceso.</w:t>
      </w:r>
    </w:p>
    <w:p w:rsidR="00C650AF" w:rsidRPr="00C650AF" w:rsidRDefault="00C650AF" w:rsidP="00C650AF">
      <w:pPr>
        <w:pStyle w:val="Prrafodelista"/>
        <w:jc w:val="both"/>
        <w:rPr>
          <w:rFonts w:ascii="Tahoma" w:hAnsi="Tahoma" w:cs="Tahoma"/>
        </w:rPr>
      </w:pPr>
    </w:p>
    <w:p w:rsidR="00C650AF" w:rsidRPr="00C650AF" w:rsidRDefault="00C650AF" w:rsidP="00C650AF">
      <w:pPr>
        <w:pStyle w:val="Textoindependiente"/>
        <w:widowControl w:val="0"/>
        <w:numPr>
          <w:ilvl w:val="0"/>
          <w:numId w:val="4"/>
        </w:numPr>
        <w:suppressAutoHyphens/>
        <w:spacing w:after="0"/>
        <w:ind w:left="567" w:hanging="567"/>
        <w:jc w:val="both"/>
        <w:rPr>
          <w:rFonts w:ascii="Tahoma" w:hAnsi="Tahoma" w:cs="Tahoma"/>
          <w:sz w:val="20"/>
          <w:szCs w:val="20"/>
        </w:rPr>
      </w:pPr>
      <w:r w:rsidRPr="00C650AF">
        <w:rPr>
          <w:rFonts w:ascii="Tahoma" w:hAnsi="Tahoma" w:cs="Tahoma"/>
          <w:sz w:val="20"/>
          <w:szCs w:val="20"/>
        </w:rPr>
        <w:t xml:space="preserve">En consecuencia, </w:t>
      </w:r>
      <w:r w:rsidRPr="00C650AF">
        <w:rPr>
          <w:rFonts w:ascii="Tahoma" w:hAnsi="Tahoma" w:cs="Tahoma"/>
          <w:sz w:val="20"/>
          <w:szCs w:val="20"/>
          <w:u w:val="single"/>
        </w:rPr>
        <w:t>estando la solicitud de imposición de sanción administrativa efectuada por la Entidad, directamente relacionada con la materia sometida a arbitraje</w:t>
      </w:r>
      <w:r w:rsidRPr="00C650AF">
        <w:rPr>
          <w:rFonts w:ascii="Tahoma" w:hAnsi="Tahoma" w:cs="Tahoma"/>
          <w:sz w:val="20"/>
          <w:szCs w:val="20"/>
        </w:rPr>
        <w:t xml:space="preserve">, sobre la procedencia de la resolución del mencionado contrato, resulta pertinente suspender el presente procedimiento administrativo sancionador, hasta que se emita el laudo arbitral correspondiente, a efectos de determinar si corresponde la aplicación de la sanción administrativa respectiva, una vez emitido el laudo arbitral. </w:t>
      </w:r>
    </w:p>
    <w:p w:rsidR="00C650AF" w:rsidRPr="00C650AF" w:rsidRDefault="00C650AF" w:rsidP="00C650AF">
      <w:pPr>
        <w:pStyle w:val="Textoindependiente"/>
        <w:widowControl w:val="0"/>
        <w:suppressAutoHyphens/>
        <w:ind w:left="567"/>
        <w:rPr>
          <w:rFonts w:ascii="Tahoma" w:hAnsi="Tahoma" w:cs="Tahoma"/>
          <w:sz w:val="20"/>
          <w:szCs w:val="20"/>
        </w:rPr>
      </w:pPr>
    </w:p>
    <w:p w:rsidR="00C650AF" w:rsidRPr="00C650AF" w:rsidRDefault="00C650AF" w:rsidP="00C650AF">
      <w:pPr>
        <w:pStyle w:val="Textoindependiente"/>
        <w:widowControl w:val="0"/>
        <w:numPr>
          <w:ilvl w:val="0"/>
          <w:numId w:val="4"/>
        </w:numPr>
        <w:suppressAutoHyphens/>
        <w:spacing w:after="0"/>
        <w:ind w:left="567" w:hanging="567"/>
        <w:jc w:val="both"/>
        <w:rPr>
          <w:rFonts w:ascii="Tahoma" w:hAnsi="Tahoma" w:cs="Tahoma"/>
          <w:sz w:val="20"/>
          <w:szCs w:val="20"/>
        </w:rPr>
      </w:pPr>
      <w:r w:rsidRPr="00C650AF">
        <w:rPr>
          <w:rFonts w:ascii="Tahoma" w:hAnsi="Tahoma" w:cs="Tahoma"/>
          <w:sz w:val="20"/>
          <w:szCs w:val="20"/>
        </w:rPr>
        <w:t>Por las consideraciones expuestas, se concluye que en el caso de autos debe suspenderse el procedimiento administrativo sancionador iniciado contra los integrantes del Consorcio, hasta que se emita el laudo arbitral correspondiente y el mismo quede consentido y ejecutoriado, en cuya oportunidad dicha suspensión deberá levantarse.</w:t>
      </w:r>
    </w:p>
    <w:p w:rsidR="001776B6" w:rsidRPr="00C650AF" w:rsidRDefault="001776B6" w:rsidP="001776B6">
      <w:pPr>
        <w:pStyle w:val="Prrafodelista"/>
        <w:jc w:val="both"/>
        <w:rPr>
          <w:rFonts w:ascii="Tahoma" w:hAnsi="Tahoma" w:cs="Tahoma"/>
        </w:rPr>
      </w:pPr>
    </w:p>
    <w:p w:rsidR="00DA127C" w:rsidRPr="00C650AF" w:rsidRDefault="00DA127C" w:rsidP="00DA127C">
      <w:pPr>
        <w:ind w:left="567" w:firstLine="567"/>
        <w:jc w:val="both"/>
        <w:rPr>
          <w:rFonts w:ascii="Tahoma" w:hAnsi="Tahoma" w:cs="Tahoma"/>
          <w:sz w:val="20"/>
          <w:szCs w:val="20"/>
        </w:rPr>
      </w:pPr>
      <w:r w:rsidRPr="00C650AF">
        <w:rPr>
          <w:rFonts w:ascii="Tahoma" w:hAnsi="Tahoma" w:cs="Tahoma"/>
          <w:color w:val="000000"/>
          <w:sz w:val="20"/>
          <w:szCs w:val="20"/>
        </w:rPr>
        <w:t xml:space="preserve">Por estos fundamentos, de conformidad con el informe del Vocal Ponente </w:t>
      </w:r>
      <w:r w:rsidRPr="00C650AF">
        <w:rPr>
          <w:rFonts w:ascii="Tahoma" w:hAnsi="Tahoma" w:cs="Tahoma"/>
          <w:sz w:val="20"/>
          <w:szCs w:val="20"/>
        </w:rPr>
        <w:t>Doctor Carlos Vicente Navas Rondón</w:t>
      </w:r>
      <w:r w:rsidRPr="00C650AF">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Pr="00C650AF" w:rsidRDefault="00E13E6B" w:rsidP="00E13E6B">
      <w:pPr>
        <w:jc w:val="both"/>
        <w:rPr>
          <w:rFonts w:ascii="Tahoma" w:hAnsi="Tahoma" w:cs="Tahoma"/>
          <w:sz w:val="20"/>
          <w:szCs w:val="20"/>
        </w:rPr>
      </w:pPr>
    </w:p>
    <w:p w:rsidR="00DD1154" w:rsidRDefault="00DD1154" w:rsidP="00E13E6B">
      <w:pPr>
        <w:jc w:val="both"/>
        <w:rPr>
          <w:rFonts w:ascii="Tahoma" w:hAnsi="Tahoma" w:cs="Tahoma"/>
          <w:sz w:val="20"/>
          <w:szCs w:val="20"/>
        </w:rPr>
      </w:pPr>
    </w:p>
    <w:p w:rsidR="00A31AA8" w:rsidRPr="00C650AF" w:rsidRDefault="00A31AA8" w:rsidP="00E13E6B">
      <w:pPr>
        <w:jc w:val="both"/>
        <w:rPr>
          <w:rFonts w:ascii="Tahoma" w:hAnsi="Tahoma" w:cs="Tahoma"/>
          <w:sz w:val="20"/>
          <w:szCs w:val="20"/>
        </w:rPr>
      </w:pPr>
    </w:p>
    <w:p w:rsidR="00E13E6B" w:rsidRPr="00C650AF" w:rsidRDefault="00E13E6B" w:rsidP="00E13E6B">
      <w:pPr>
        <w:ind w:firstLine="567"/>
        <w:jc w:val="both"/>
        <w:rPr>
          <w:rFonts w:ascii="Tahoma" w:hAnsi="Tahoma" w:cs="Tahoma"/>
          <w:b/>
          <w:sz w:val="20"/>
          <w:szCs w:val="20"/>
        </w:rPr>
      </w:pPr>
      <w:r w:rsidRPr="00C650AF">
        <w:rPr>
          <w:rFonts w:ascii="Tahoma" w:hAnsi="Tahoma" w:cs="Tahoma"/>
          <w:b/>
          <w:sz w:val="20"/>
          <w:szCs w:val="20"/>
        </w:rPr>
        <w:lastRenderedPageBreak/>
        <w:t xml:space="preserve">LA SALA RESUELVE: </w:t>
      </w:r>
    </w:p>
    <w:p w:rsidR="00E13E6B" w:rsidRPr="00C650AF" w:rsidRDefault="00E13E6B" w:rsidP="00E13E6B">
      <w:pPr>
        <w:ind w:left="400"/>
        <w:jc w:val="both"/>
        <w:rPr>
          <w:rFonts w:ascii="Tahoma" w:hAnsi="Tahoma" w:cs="Tahoma"/>
          <w:snapToGrid w:val="0"/>
          <w:sz w:val="20"/>
          <w:szCs w:val="20"/>
        </w:rPr>
      </w:pPr>
    </w:p>
    <w:p w:rsidR="00C650AF" w:rsidRPr="00C650AF" w:rsidRDefault="00C650AF" w:rsidP="00C650AF">
      <w:pPr>
        <w:ind w:left="567"/>
        <w:jc w:val="both"/>
        <w:rPr>
          <w:rFonts w:ascii="Tahoma" w:hAnsi="Tahoma" w:cs="Tahoma"/>
          <w:sz w:val="20"/>
          <w:szCs w:val="20"/>
        </w:rPr>
      </w:pPr>
      <w:r w:rsidRPr="00C650AF">
        <w:rPr>
          <w:rFonts w:ascii="Tahoma" w:hAnsi="Tahoma" w:cs="Tahoma"/>
          <w:sz w:val="20"/>
          <w:szCs w:val="20"/>
        </w:rPr>
        <w:t xml:space="preserve">Disponer la suspensión temporal del procedimiento administrativo sancionador iniciado contra las empresas JV SECURITY S.A.C. y SCARGO SECURITY S.A.C. por su supuesta responsabilidad en la comisión de la infracción tipificada literal b) del numeral 51.1 del artículo 51 de la Ley, </w:t>
      </w:r>
      <w:r w:rsidRPr="00C650AF">
        <w:rPr>
          <w:rFonts w:ascii="Tahoma" w:hAnsi="Tahoma" w:cs="Tahoma"/>
          <w:noProof/>
          <w:sz w:val="20"/>
          <w:szCs w:val="20"/>
        </w:rPr>
        <w:t>debiendo archivarse provisionalmente el presente expediente hasta que la Entidad cumpla con informar a este Tribunal sobre el resultado definitivo del proceso arbitral seguido por las partes, conforme a los argumentos expuestos.</w:t>
      </w:r>
    </w:p>
    <w:p w:rsidR="00E13E6B" w:rsidRPr="00C650AF" w:rsidRDefault="00E13E6B" w:rsidP="00E13E6B">
      <w:pPr>
        <w:pStyle w:val="Prrafodelista"/>
        <w:jc w:val="both"/>
        <w:rPr>
          <w:rFonts w:ascii="Tahoma" w:hAnsi="Tahoma" w:cs="Tahoma"/>
        </w:rPr>
      </w:pPr>
    </w:p>
    <w:p w:rsidR="00E13E6B" w:rsidRPr="00C650AF" w:rsidRDefault="00E13E6B" w:rsidP="00E13E6B">
      <w:pPr>
        <w:pStyle w:val="Textoindependiente21"/>
        <w:ind w:firstLine="360"/>
        <w:rPr>
          <w:rFonts w:cs="Tahoma"/>
          <w:sz w:val="20"/>
        </w:rPr>
      </w:pPr>
      <w:r w:rsidRPr="00C650AF">
        <w:rPr>
          <w:rFonts w:cs="Tahoma"/>
          <w:sz w:val="20"/>
        </w:rPr>
        <w:t>Regístrese, comuníquese y publíquese.</w:t>
      </w:r>
    </w:p>
    <w:p w:rsidR="00E13E6B" w:rsidRPr="00C650AF" w:rsidRDefault="00E13E6B" w:rsidP="00E13E6B">
      <w:pPr>
        <w:jc w:val="both"/>
        <w:rPr>
          <w:rFonts w:ascii="Tahoma" w:hAnsi="Tahoma" w:cs="Tahoma"/>
          <w:b/>
          <w:bCs/>
          <w:shadow/>
          <w:sz w:val="20"/>
          <w:szCs w:val="20"/>
        </w:rPr>
      </w:pPr>
    </w:p>
    <w:p w:rsidR="00A52C81" w:rsidRPr="00C650AF" w:rsidRDefault="00A52C81" w:rsidP="00E13E6B">
      <w:pPr>
        <w:jc w:val="both"/>
        <w:rPr>
          <w:rFonts w:ascii="Tahoma" w:hAnsi="Tahoma" w:cs="Tahoma"/>
          <w:b/>
          <w:bCs/>
          <w:shadow/>
          <w:sz w:val="20"/>
          <w:szCs w:val="20"/>
        </w:rPr>
      </w:pPr>
    </w:p>
    <w:p w:rsidR="006E5BF8" w:rsidRPr="00C650AF" w:rsidRDefault="006E5BF8" w:rsidP="00E13E6B">
      <w:pPr>
        <w:jc w:val="both"/>
        <w:rPr>
          <w:rFonts w:ascii="Tahoma" w:hAnsi="Tahoma" w:cs="Tahoma"/>
          <w:b/>
          <w:bCs/>
          <w:shadow/>
          <w:sz w:val="20"/>
          <w:szCs w:val="20"/>
        </w:rPr>
      </w:pPr>
    </w:p>
    <w:p w:rsidR="00DA127C" w:rsidRPr="00C650AF" w:rsidRDefault="00DA127C" w:rsidP="00E13E6B">
      <w:pPr>
        <w:jc w:val="both"/>
        <w:rPr>
          <w:rFonts w:ascii="Tahoma" w:hAnsi="Tahoma" w:cs="Tahoma"/>
          <w:b/>
          <w:bCs/>
          <w:shadow/>
          <w:sz w:val="20"/>
          <w:szCs w:val="20"/>
        </w:rPr>
      </w:pPr>
    </w:p>
    <w:p w:rsidR="00DA127C" w:rsidRPr="00C650AF" w:rsidRDefault="00DA127C" w:rsidP="00E13E6B">
      <w:pPr>
        <w:jc w:val="both"/>
        <w:rPr>
          <w:rFonts w:ascii="Tahoma" w:hAnsi="Tahoma" w:cs="Tahoma"/>
          <w:b/>
          <w:bCs/>
          <w:shadow/>
          <w:sz w:val="20"/>
          <w:szCs w:val="20"/>
        </w:rPr>
      </w:pPr>
    </w:p>
    <w:p w:rsidR="00DA127C" w:rsidRPr="00C650AF" w:rsidRDefault="00DA127C" w:rsidP="00E13E6B">
      <w:pPr>
        <w:jc w:val="both"/>
        <w:rPr>
          <w:rFonts w:ascii="Tahoma" w:hAnsi="Tahoma" w:cs="Tahoma"/>
          <w:b/>
          <w:bCs/>
          <w:shadow/>
          <w:sz w:val="20"/>
          <w:szCs w:val="20"/>
        </w:rPr>
      </w:pPr>
    </w:p>
    <w:p w:rsidR="00E13E6B" w:rsidRPr="00C650AF" w:rsidRDefault="00E13E6B" w:rsidP="00295C50">
      <w:pPr>
        <w:jc w:val="center"/>
        <w:rPr>
          <w:rFonts w:ascii="Tahoma" w:hAnsi="Tahoma" w:cs="Tahoma"/>
          <w:b/>
          <w:bCs/>
          <w:shadow/>
          <w:sz w:val="20"/>
          <w:szCs w:val="20"/>
        </w:rPr>
      </w:pPr>
      <w:r w:rsidRPr="00C650AF">
        <w:rPr>
          <w:rFonts w:ascii="Tahoma" w:hAnsi="Tahoma" w:cs="Tahoma"/>
          <w:b/>
          <w:bCs/>
          <w:shadow/>
          <w:sz w:val="20"/>
          <w:szCs w:val="20"/>
        </w:rPr>
        <w:t>PRESIDENTE</w:t>
      </w:r>
    </w:p>
    <w:p w:rsidR="00E13E6B" w:rsidRPr="00C650AF" w:rsidRDefault="00E13E6B" w:rsidP="00C5251B">
      <w:pPr>
        <w:jc w:val="center"/>
        <w:rPr>
          <w:rFonts w:ascii="Tahoma" w:hAnsi="Tahoma" w:cs="Tahoma"/>
          <w:b/>
          <w:bCs/>
          <w:shadow/>
          <w:sz w:val="20"/>
          <w:szCs w:val="20"/>
        </w:rPr>
      </w:pPr>
    </w:p>
    <w:p w:rsidR="00E13E6B" w:rsidRPr="00C650AF" w:rsidRDefault="00E13E6B" w:rsidP="00C5251B">
      <w:pPr>
        <w:jc w:val="center"/>
        <w:rPr>
          <w:rFonts w:ascii="Tahoma" w:hAnsi="Tahoma" w:cs="Tahoma"/>
          <w:b/>
          <w:bCs/>
          <w:shadow/>
          <w:sz w:val="20"/>
          <w:szCs w:val="20"/>
        </w:rPr>
      </w:pPr>
    </w:p>
    <w:p w:rsidR="00DA127C" w:rsidRPr="00C650AF" w:rsidRDefault="00DA127C" w:rsidP="00C5251B">
      <w:pPr>
        <w:jc w:val="center"/>
        <w:rPr>
          <w:rFonts w:ascii="Tahoma" w:hAnsi="Tahoma" w:cs="Tahoma"/>
          <w:b/>
          <w:bCs/>
          <w:shadow/>
          <w:sz w:val="20"/>
          <w:szCs w:val="20"/>
        </w:rPr>
      </w:pPr>
    </w:p>
    <w:p w:rsidR="00DA127C" w:rsidRPr="00C650AF" w:rsidRDefault="00DA127C" w:rsidP="00C5251B">
      <w:pPr>
        <w:jc w:val="center"/>
        <w:rPr>
          <w:rFonts w:ascii="Tahoma" w:hAnsi="Tahoma" w:cs="Tahoma"/>
          <w:b/>
          <w:bCs/>
          <w:shadow/>
          <w:sz w:val="20"/>
          <w:szCs w:val="20"/>
        </w:rPr>
      </w:pPr>
    </w:p>
    <w:p w:rsidR="00E13E6B" w:rsidRPr="00C650AF" w:rsidRDefault="00E13E6B" w:rsidP="00C5251B">
      <w:pPr>
        <w:jc w:val="center"/>
        <w:rPr>
          <w:rFonts w:ascii="Tahoma" w:hAnsi="Tahoma" w:cs="Tahoma"/>
          <w:b/>
          <w:bCs/>
          <w:shadow/>
          <w:sz w:val="20"/>
          <w:szCs w:val="20"/>
        </w:rPr>
      </w:pPr>
    </w:p>
    <w:p w:rsidR="00E13E6B" w:rsidRPr="00C650AF" w:rsidRDefault="00E13E6B" w:rsidP="00C5251B">
      <w:pPr>
        <w:jc w:val="center"/>
        <w:rPr>
          <w:rFonts w:ascii="Tahoma" w:hAnsi="Tahoma" w:cs="Tahoma"/>
          <w:b/>
          <w:shadow/>
          <w:sz w:val="20"/>
          <w:szCs w:val="20"/>
        </w:rPr>
      </w:pPr>
      <w:r w:rsidRPr="00C650AF">
        <w:rPr>
          <w:rFonts w:ascii="Tahoma" w:hAnsi="Tahoma" w:cs="Tahoma"/>
          <w:b/>
          <w:shadow/>
          <w:sz w:val="20"/>
          <w:szCs w:val="20"/>
        </w:rPr>
        <w:t xml:space="preserve">VOCAL           </w:t>
      </w:r>
      <w:r w:rsidRPr="00C650AF">
        <w:rPr>
          <w:rFonts w:ascii="Tahoma" w:hAnsi="Tahoma" w:cs="Tahoma"/>
          <w:b/>
          <w:shadow/>
          <w:sz w:val="20"/>
          <w:szCs w:val="20"/>
        </w:rPr>
        <w:tab/>
      </w:r>
      <w:r w:rsidRPr="00C650AF">
        <w:rPr>
          <w:rFonts w:ascii="Tahoma" w:hAnsi="Tahoma" w:cs="Tahoma"/>
          <w:b/>
          <w:shadow/>
          <w:sz w:val="20"/>
          <w:szCs w:val="20"/>
        </w:rPr>
        <w:tab/>
        <w:t xml:space="preserve">                                                                VOCAL</w:t>
      </w:r>
    </w:p>
    <w:p w:rsidR="00635F2E" w:rsidRPr="00C650AF" w:rsidRDefault="00635F2E" w:rsidP="00E13E6B">
      <w:pPr>
        <w:jc w:val="both"/>
        <w:rPr>
          <w:rFonts w:ascii="Tahoma" w:hAnsi="Tahoma" w:cs="Tahoma"/>
          <w:sz w:val="20"/>
          <w:szCs w:val="20"/>
        </w:rPr>
      </w:pPr>
    </w:p>
    <w:p w:rsidR="00635F2E" w:rsidRPr="00C650AF" w:rsidRDefault="00635F2E" w:rsidP="00E13E6B">
      <w:pPr>
        <w:jc w:val="both"/>
        <w:rPr>
          <w:rFonts w:ascii="Tahoma" w:hAnsi="Tahoma" w:cs="Tahoma"/>
          <w:sz w:val="20"/>
          <w:szCs w:val="20"/>
        </w:rPr>
      </w:pPr>
    </w:p>
    <w:p w:rsidR="00635F2E" w:rsidRPr="00C650AF" w:rsidRDefault="00635F2E" w:rsidP="00E13E6B">
      <w:pPr>
        <w:jc w:val="both"/>
        <w:rPr>
          <w:rFonts w:ascii="Tahoma" w:hAnsi="Tahoma" w:cs="Tahoma"/>
          <w:sz w:val="20"/>
          <w:szCs w:val="20"/>
        </w:rPr>
      </w:pPr>
    </w:p>
    <w:p w:rsidR="00E13E6B" w:rsidRPr="00C650AF" w:rsidRDefault="00E13E6B" w:rsidP="00E13E6B">
      <w:pPr>
        <w:jc w:val="both"/>
        <w:rPr>
          <w:rFonts w:ascii="Tahoma" w:hAnsi="Tahoma" w:cs="Tahoma"/>
          <w:sz w:val="20"/>
          <w:szCs w:val="20"/>
        </w:rPr>
      </w:pPr>
      <w:r w:rsidRPr="00C650AF">
        <w:rPr>
          <w:rFonts w:ascii="Tahoma" w:hAnsi="Tahoma" w:cs="Tahoma"/>
          <w:sz w:val="20"/>
          <w:szCs w:val="20"/>
        </w:rPr>
        <w:t>ss.</w:t>
      </w:r>
    </w:p>
    <w:p w:rsidR="00351F6F" w:rsidRPr="00C650AF" w:rsidRDefault="00351F6F" w:rsidP="00351F6F">
      <w:pPr>
        <w:jc w:val="both"/>
        <w:rPr>
          <w:rFonts w:ascii="Tahoma" w:hAnsi="Tahoma" w:cs="Tahoma"/>
          <w:sz w:val="20"/>
          <w:szCs w:val="20"/>
        </w:rPr>
      </w:pPr>
      <w:r w:rsidRPr="00C650AF">
        <w:rPr>
          <w:rFonts w:ascii="Tahoma" w:hAnsi="Tahoma" w:cs="Tahoma"/>
          <w:sz w:val="20"/>
          <w:szCs w:val="20"/>
        </w:rPr>
        <w:t>Navas Rondón</w:t>
      </w:r>
    </w:p>
    <w:p w:rsidR="00351F6F" w:rsidRPr="00C650AF" w:rsidRDefault="00351F6F" w:rsidP="00351F6F">
      <w:pPr>
        <w:jc w:val="both"/>
        <w:rPr>
          <w:rFonts w:ascii="Tahoma" w:hAnsi="Tahoma" w:cs="Tahoma"/>
          <w:color w:val="000000"/>
          <w:sz w:val="20"/>
          <w:szCs w:val="20"/>
        </w:rPr>
      </w:pPr>
      <w:r w:rsidRPr="00C650AF">
        <w:rPr>
          <w:rFonts w:ascii="Tahoma" w:hAnsi="Tahoma" w:cs="Tahoma"/>
          <w:color w:val="000000"/>
          <w:sz w:val="20"/>
          <w:szCs w:val="20"/>
        </w:rPr>
        <w:t xml:space="preserve">Ramírez Maynetto </w:t>
      </w:r>
    </w:p>
    <w:p w:rsidR="00351F6F" w:rsidRPr="00C650AF" w:rsidRDefault="00351F6F" w:rsidP="00351F6F">
      <w:pPr>
        <w:jc w:val="both"/>
        <w:rPr>
          <w:rFonts w:ascii="Tahoma" w:hAnsi="Tahoma" w:cs="Tahoma"/>
          <w:sz w:val="20"/>
          <w:szCs w:val="20"/>
        </w:rPr>
      </w:pPr>
      <w:r w:rsidRPr="00C650AF">
        <w:rPr>
          <w:rFonts w:ascii="Tahoma" w:hAnsi="Tahoma" w:cs="Tahoma"/>
          <w:sz w:val="20"/>
          <w:szCs w:val="20"/>
        </w:rPr>
        <w:t>Basulto Liewald.</w:t>
      </w:r>
    </w:p>
    <w:sectPr w:rsidR="00351F6F" w:rsidRPr="00C650AF"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5AF" w:rsidRDefault="004245AF" w:rsidP="00E13E6B">
      <w:r>
        <w:separator/>
      </w:r>
    </w:p>
  </w:endnote>
  <w:endnote w:type="continuationSeparator" w:id="1">
    <w:p w:rsidR="004245AF" w:rsidRDefault="004245AF"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086065"/>
      <w:docPartObj>
        <w:docPartGallery w:val="Page Numbers (Bottom of Page)"/>
        <w:docPartUnique/>
      </w:docPartObj>
    </w:sdtPr>
    <w:sdtEndPr>
      <w:rPr>
        <w:sz w:val="20"/>
        <w:szCs w:val="20"/>
      </w:rPr>
    </w:sdtEndPr>
    <w:sdtContent>
      <w:sdt>
        <w:sdtPr>
          <w:rPr>
            <w:sz w:val="20"/>
            <w:szCs w:val="20"/>
          </w:rPr>
          <w:id w:val="216747587"/>
          <w:docPartObj>
            <w:docPartGallery w:val="Page Numbers (Top of Page)"/>
            <w:docPartUnique/>
          </w:docPartObj>
        </w:sdtPr>
        <w:sdtContent>
          <w:p w:rsidR="004F4E97" w:rsidRPr="004F4E97" w:rsidRDefault="004F4E97">
            <w:pPr>
              <w:pStyle w:val="Piedepgina"/>
              <w:jc w:val="right"/>
              <w:rPr>
                <w:sz w:val="20"/>
                <w:szCs w:val="20"/>
              </w:rPr>
            </w:pPr>
            <w:r w:rsidRPr="004F4E97">
              <w:rPr>
                <w:sz w:val="20"/>
                <w:szCs w:val="20"/>
              </w:rPr>
              <w:t xml:space="preserve">Página </w:t>
            </w:r>
            <w:r w:rsidR="002D57D9" w:rsidRPr="004F4E97">
              <w:rPr>
                <w:b/>
                <w:sz w:val="20"/>
                <w:szCs w:val="20"/>
              </w:rPr>
              <w:fldChar w:fldCharType="begin"/>
            </w:r>
            <w:r w:rsidRPr="004F4E97">
              <w:rPr>
                <w:b/>
                <w:sz w:val="20"/>
                <w:szCs w:val="20"/>
              </w:rPr>
              <w:instrText>PAGE</w:instrText>
            </w:r>
            <w:r w:rsidR="002D57D9" w:rsidRPr="004F4E97">
              <w:rPr>
                <w:b/>
                <w:sz w:val="20"/>
                <w:szCs w:val="20"/>
              </w:rPr>
              <w:fldChar w:fldCharType="separate"/>
            </w:r>
            <w:r w:rsidR="009E650D">
              <w:rPr>
                <w:b/>
                <w:noProof/>
                <w:sz w:val="20"/>
                <w:szCs w:val="20"/>
              </w:rPr>
              <w:t>1</w:t>
            </w:r>
            <w:r w:rsidR="002D57D9" w:rsidRPr="004F4E97">
              <w:rPr>
                <w:b/>
                <w:sz w:val="20"/>
                <w:szCs w:val="20"/>
              </w:rPr>
              <w:fldChar w:fldCharType="end"/>
            </w:r>
            <w:r w:rsidRPr="004F4E97">
              <w:rPr>
                <w:sz w:val="20"/>
                <w:szCs w:val="20"/>
              </w:rPr>
              <w:t xml:space="preserve"> de </w:t>
            </w:r>
            <w:r w:rsidR="002D57D9" w:rsidRPr="004F4E97">
              <w:rPr>
                <w:b/>
                <w:sz w:val="20"/>
                <w:szCs w:val="20"/>
              </w:rPr>
              <w:fldChar w:fldCharType="begin"/>
            </w:r>
            <w:r w:rsidRPr="004F4E97">
              <w:rPr>
                <w:b/>
                <w:sz w:val="20"/>
                <w:szCs w:val="20"/>
              </w:rPr>
              <w:instrText>NUMPAGES</w:instrText>
            </w:r>
            <w:r w:rsidR="002D57D9" w:rsidRPr="004F4E97">
              <w:rPr>
                <w:b/>
                <w:sz w:val="20"/>
                <w:szCs w:val="20"/>
              </w:rPr>
              <w:fldChar w:fldCharType="separate"/>
            </w:r>
            <w:r w:rsidR="009E650D">
              <w:rPr>
                <w:b/>
                <w:noProof/>
                <w:sz w:val="20"/>
                <w:szCs w:val="20"/>
              </w:rPr>
              <w:t>7</w:t>
            </w:r>
            <w:r w:rsidR="002D57D9" w:rsidRPr="004F4E97">
              <w:rPr>
                <w:b/>
                <w:sz w:val="20"/>
                <w:szCs w:val="20"/>
              </w:rPr>
              <w:fldChar w:fldCharType="end"/>
            </w:r>
          </w:p>
        </w:sdtContent>
      </w:sdt>
    </w:sdtContent>
  </w:sdt>
  <w:p w:rsidR="00E066F0" w:rsidRPr="00223795" w:rsidRDefault="004245AF"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5AF" w:rsidRDefault="004245AF" w:rsidP="00E13E6B">
      <w:r>
        <w:separator/>
      </w:r>
    </w:p>
  </w:footnote>
  <w:footnote w:type="continuationSeparator" w:id="1">
    <w:p w:rsidR="004245AF" w:rsidRDefault="004245AF" w:rsidP="00E13E6B">
      <w:r>
        <w:continuationSeparator/>
      </w:r>
    </w:p>
  </w:footnote>
  <w:footnote w:id="2">
    <w:p w:rsidR="00C650AF" w:rsidRPr="00227330" w:rsidRDefault="00C650AF" w:rsidP="00C650AF">
      <w:pPr>
        <w:pStyle w:val="Textonotapie"/>
        <w:jc w:val="both"/>
        <w:rPr>
          <w:sz w:val="15"/>
          <w:szCs w:val="15"/>
        </w:rPr>
      </w:pPr>
      <w:r w:rsidRPr="00227330">
        <w:rPr>
          <w:rStyle w:val="Refdenotaalpie"/>
          <w:sz w:val="15"/>
          <w:szCs w:val="15"/>
        </w:rPr>
        <w:footnoteRef/>
      </w:r>
      <w:r w:rsidRPr="00227330">
        <w:rPr>
          <w:sz w:val="15"/>
          <w:szCs w:val="15"/>
        </w:rPr>
        <w:t xml:space="preserve"> </w:t>
      </w:r>
      <w:r w:rsidRPr="00227330">
        <w:rPr>
          <w:b/>
          <w:sz w:val="15"/>
          <w:szCs w:val="15"/>
        </w:rPr>
        <w:t>Artículo 51.- Infracciones y sanciones administrativas</w:t>
      </w:r>
    </w:p>
    <w:p w:rsidR="00C650AF" w:rsidRPr="00227330" w:rsidRDefault="00C650AF" w:rsidP="00C650AF">
      <w:pPr>
        <w:pStyle w:val="Textonotapie"/>
        <w:jc w:val="both"/>
        <w:rPr>
          <w:sz w:val="15"/>
          <w:szCs w:val="15"/>
        </w:rPr>
      </w:pPr>
      <w:r w:rsidRPr="00227330">
        <w:rPr>
          <w:sz w:val="15"/>
          <w:szCs w:val="15"/>
        </w:rPr>
        <w:t>51.1 Infracciones</w:t>
      </w:r>
    </w:p>
    <w:p w:rsidR="00C650AF" w:rsidRPr="00227330" w:rsidRDefault="00C650AF" w:rsidP="00C650AF">
      <w:pPr>
        <w:pStyle w:val="Textonotapie"/>
        <w:jc w:val="both"/>
        <w:rPr>
          <w:sz w:val="15"/>
          <w:szCs w:val="15"/>
        </w:rPr>
      </w:pPr>
      <w:r w:rsidRPr="00227330">
        <w:rPr>
          <w:sz w:val="15"/>
          <w:szCs w:val="15"/>
        </w:rPr>
        <w:t>Se impondrá sanción administrativa a los proveedores, participantes, postores y/o contratistas que:</w:t>
      </w:r>
    </w:p>
    <w:p w:rsidR="00C650AF" w:rsidRPr="00227330" w:rsidRDefault="00C650AF" w:rsidP="00C650AF">
      <w:pPr>
        <w:pStyle w:val="Textonotapie"/>
        <w:jc w:val="both"/>
        <w:rPr>
          <w:sz w:val="15"/>
          <w:szCs w:val="15"/>
        </w:rPr>
      </w:pPr>
      <w:r w:rsidRPr="00227330">
        <w:rPr>
          <w:sz w:val="15"/>
          <w:szCs w:val="15"/>
        </w:rPr>
        <w:t>(…)</w:t>
      </w:r>
    </w:p>
    <w:p w:rsidR="00C650AF" w:rsidRPr="00227330" w:rsidRDefault="00C650AF" w:rsidP="00C650AF">
      <w:pPr>
        <w:pStyle w:val="Textonotapie"/>
        <w:jc w:val="both"/>
        <w:rPr>
          <w:sz w:val="15"/>
          <w:szCs w:val="15"/>
        </w:rPr>
      </w:pPr>
      <w:r w:rsidRPr="00227330">
        <w:rPr>
          <w:sz w:val="15"/>
          <w:szCs w:val="15"/>
        </w:rPr>
        <w:t>b) Den lugar a la resolución del contrato, orden de compra o de servicios por causal atribuible a su  parte;</w:t>
      </w:r>
    </w:p>
  </w:footnote>
  <w:footnote w:id="3">
    <w:p w:rsidR="00C650AF" w:rsidRPr="00227330" w:rsidRDefault="00C650AF" w:rsidP="00C650AF">
      <w:pPr>
        <w:pStyle w:val="Textonotapie"/>
        <w:jc w:val="both"/>
        <w:rPr>
          <w:sz w:val="15"/>
          <w:szCs w:val="15"/>
        </w:rPr>
      </w:pPr>
      <w:r w:rsidRPr="00227330">
        <w:rPr>
          <w:rStyle w:val="Refdenotaalpie"/>
          <w:sz w:val="15"/>
          <w:szCs w:val="15"/>
        </w:rPr>
        <w:footnoteRef/>
      </w:r>
      <w:r w:rsidRPr="00227330">
        <w:rPr>
          <w:sz w:val="15"/>
          <w:szCs w:val="15"/>
        </w:rPr>
        <w:t xml:space="preserve"> </w:t>
      </w:r>
      <w:r w:rsidRPr="00227330">
        <w:rPr>
          <w:b/>
          <w:bCs/>
          <w:sz w:val="15"/>
          <w:szCs w:val="15"/>
        </w:rPr>
        <w:t>Artículo 237.- Causales de aplicación de sanción a los proveedores, participantes, postores y contratistas</w:t>
      </w:r>
    </w:p>
    <w:p w:rsidR="00C650AF" w:rsidRPr="00227330" w:rsidRDefault="00C650AF" w:rsidP="00C650AF">
      <w:pPr>
        <w:pStyle w:val="Textonotapie"/>
        <w:jc w:val="both"/>
        <w:rPr>
          <w:sz w:val="15"/>
          <w:szCs w:val="15"/>
        </w:rPr>
      </w:pPr>
      <w:r w:rsidRPr="00227330">
        <w:rPr>
          <w:sz w:val="15"/>
          <w:szCs w:val="15"/>
        </w:rPr>
        <w:t>El Tribunal impondrá la sanción administrativa de inhabilitación temporal o definitiva a los proveedores, participantes, postores y/o contratistas que:</w:t>
      </w:r>
    </w:p>
    <w:p w:rsidR="00C650AF" w:rsidRPr="00227330" w:rsidRDefault="00C650AF" w:rsidP="00C650AF">
      <w:pPr>
        <w:pStyle w:val="Textonotapie"/>
        <w:jc w:val="both"/>
        <w:rPr>
          <w:sz w:val="15"/>
          <w:szCs w:val="15"/>
        </w:rPr>
      </w:pPr>
      <w:r w:rsidRPr="00227330">
        <w:rPr>
          <w:sz w:val="15"/>
          <w:szCs w:val="15"/>
        </w:rPr>
        <w:t>(…)</w:t>
      </w:r>
    </w:p>
    <w:p w:rsidR="00C650AF" w:rsidRPr="00237395" w:rsidRDefault="00C650AF" w:rsidP="00C650AF">
      <w:pPr>
        <w:pStyle w:val="Textonotapie"/>
        <w:jc w:val="both"/>
        <w:rPr>
          <w:sz w:val="18"/>
          <w:szCs w:val="18"/>
        </w:rPr>
      </w:pPr>
      <w:r w:rsidRPr="00227330">
        <w:rPr>
          <w:sz w:val="15"/>
          <w:szCs w:val="15"/>
        </w:rPr>
        <w:t>2) Den lugar a la resolución del contrato, orden de compra o de servicios por causal atribuible a su parte.</w:t>
      </w:r>
    </w:p>
  </w:footnote>
  <w:footnote w:id="4">
    <w:p w:rsidR="00C650AF" w:rsidRPr="00CD30A1" w:rsidRDefault="00C650AF" w:rsidP="00C650AF">
      <w:pPr>
        <w:pStyle w:val="Textonotapie"/>
        <w:rPr>
          <w:rFonts w:cs="Tahoma"/>
          <w:sz w:val="18"/>
          <w:szCs w:val="18"/>
        </w:rPr>
      </w:pPr>
      <w:r w:rsidRPr="00C12921">
        <w:rPr>
          <w:rStyle w:val="Refdenotaalpie"/>
          <w:rFonts w:cs="Tahoma"/>
          <w:sz w:val="16"/>
          <w:szCs w:val="16"/>
        </w:rPr>
        <w:footnoteRef/>
      </w:r>
      <w:r w:rsidRPr="00C12921">
        <w:rPr>
          <w:rFonts w:cs="Tahoma"/>
          <w:sz w:val="16"/>
          <w:szCs w:val="16"/>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footnote>
  <w:footnote w:id="5">
    <w:p w:rsidR="00C650AF" w:rsidRPr="001A6072" w:rsidRDefault="00C650AF" w:rsidP="00C650AF">
      <w:pPr>
        <w:pStyle w:val="Textonotapie"/>
        <w:tabs>
          <w:tab w:val="left" w:pos="284"/>
        </w:tabs>
        <w:ind w:left="284" w:hanging="284"/>
        <w:jc w:val="both"/>
        <w:rPr>
          <w:b/>
          <w:bCs/>
          <w:color w:val="000000"/>
          <w:sz w:val="16"/>
          <w:szCs w:val="16"/>
        </w:rPr>
      </w:pPr>
      <w:r w:rsidRPr="001A6072">
        <w:rPr>
          <w:rStyle w:val="Refdenotaalpie"/>
          <w:sz w:val="16"/>
          <w:szCs w:val="16"/>
        </w:rPr>
        <w:footnoteRef/>
      </w:r>
      <w:r w:rsidRPr="001A6072">
        <w:rPr>
          <w:sz w:val="16"/>
          <w:szCs w:val="16"/>
        </w:rPr>
        <w:t xml:space="preserve"> </w:t>
      </w:r>
      <w:r w:rsidRPr="001A6072">
        <w:rPr>
          <w:b/>
          <w:bCs/>
          <w:color w:val="000000"/>
          <w:sz w:val="16"/>
          <w:szCs w:val="16"/>
        </w:rPr>
        <w:t>Artículo 170.- Efectos de la resolución.-</w:t>
      </w:r>
    </w:p>
    <w:p w:rsidR="00C650AF" w:rsidRPr="001A6072" w:rsidRDefault="00C650AF" w:rsidP="00C650AF">
      <w:pPr>
        <w:pStyle w:val="Textonotapie"/>
        <w:tabs>
          <w:tab w:val="left" w:pos="0"/>
        </w:tabs>
        <w:jc w:val="both"/>
        <w:rPr>
          <w:bCs/>
          <w:color w:val="000000"/>
          <w:sz w:val="16"/>
          <w:szCs w:val="16"/>
        </w:rPr>
      </w:pPr>
      <w:r w:rsidRPr="001A6072">
        <w:rPr>
          <w:bCs/>
          <w:color w:val="000000"/>
          <w:sz w:val="16"/>
          <w:szCs w:val="16"/>
        </w:rPr>
        <w:t>(…)</w:t>
      </w:r>
    </w:p>
    <w:p w:rsidR="00C650AF" w:rsidRPr="001A6072" w:rsidRDefault="00C650AF" w:rsidP="00C650AF">
      <w:pPr>
        <w:pStyle w:val="Textonotapie"/>
        <w:jc w:val="both"/>
      </w:pPr>
      <w:r w:rsidRPr="001A6072">
        <w:rPr>
          <w:color w:val="000000"/>
          <w:sz w:val="16"/>
          <w:szCs w:val="16"/>
        </w:rPr>
        <w:t xml:space="preserve">Cualquier controversia relacionada con la resolución del contrato podrá ser sometida por la parte interesada a conciliación y/o arbitraje dentro de los </w:t>
      </w:r>
      <w:r w:rsidRPr="001A6072">
        <w:rPr>
          <w:b/>
          <w:color w:val="000000"/>
          <w:sz w:val="16"/>
          <w:szCs w:val="16"/>
          <w:u w:val="single"/>
        </w:rPr>
        <w:t>quince (15) días hábiles</w:t>
      </w:r>
      <w:r w:rsidRPr="001A6072">
        <w:rPr>
          <w:color w:val="000000"/>
          <w:sz w:val="16"/>
          <w:szCs w:val="16"/>
        </w:rPr>
        <w:t xml:space="preserve"> siguientes de comunicada la resolución. Vencido este plazo sin que se haya iniciado ninguno de estos procedimientos, se entenderá que la resolución del contrato ha quedado consentida. </w:t>
      </w:r>
    </w:p>
  </w:footnote>
  <w:footnote w:id="6">
    <w:p w:rsidR="00C650AF" w:rsidRPr="001A6072" w:rsidRDefault="00C650AF" w:rsidP="00C650AF">
      <w:pPr>
        <w:pStyle w:val="Textonotapie"/>
        <w:jc w:val="both"/>
        <w:rPr>
          <w:sz w:val="16"/>
          <w:szCs w:val="16"/>
        </w:rPr>
      </w:pPr>
      <w:r w:rsidRPr="001A6072">
        <w:rPr>
          <w:rStyle w:val="Refdenotaalpie"/>
          <w:sz w:val="16"/>
          <w:szCs w:val="16"/>
        </w:rPr>
        <w:footnoteRef/>
      </w:r>
      <w:r w:rsidRPr="001A6072">
        <w:rPr>
          <w:sz w:val="16"/>
          <w:szCs w:val="16"/>
        </w:rPr>
        <w:t xml:space="preserve"> </w:t>
      </w:r>
      <w:r w:rsidRPr="001A6072">
        <w:rPr>
          <w:b/>
          <w:sz w:val="16"/>
          <w:szCs w:val="16"/>
        </w:rPr>
        <w:t>Artículo 244.- Suspensión del plazo de prescripción</w:t>
      </w:r>
    </w:p>
    <w:p w:rsidR="00C650AF" w:rsidRPr="001A6072" w:rsidRDefault="00C650AF" w:rsidP="00C650AF">
      <w:pPr>
        <w:pStyle w:val="Textonotapie"/>
        <w:jc w:val="both"/>
        <w:rPr>
          <w:sz w:val="16"/>
          <w:szCs w:val="16"/>
        </w:rPr>
      </w:pPr>
      <w:r w:rsidRPr="001A6072">
        <w:rPr>
          <w:sz w:val="16"/>
          <w:szCs w:val="16"/>
        </w:rPr>
        <w:t>El plazo de prescripción se suspende en los siguientes casos:</w:t>
      </w:r>
    </w:p>
    <w:p w:rsidR="00C650AF" w:rsidRPr="001A6072" w:rsidRDefault="00C650AF" w:rsidP="00C650AF">
      <w:pPr>
        <w:pStyle w:val="Textonotapie"/>
        <w:jc w:val="both"/>
        <w:rPr>
          <w:sz w:val="16"/>
          <w:szCs w:val="16"/>
        </w:rPr>
      </w:pPr>
      <w:r w:rsidRPr="001A6072">
        <w:rPr>
          <w:sz w:val="16"/>
          <w:szCs w:val="16"/>
        </w:rPr>
        <w:t>(…)</w:t>
      </w:r>
    </w:p>
    <w:p w:rsidR="00C650AF" w:rsidRDefault="00C650AF" w:rsidP="00C650AF">
      <w:pPr>
        <w:pStyle w:val="Textonotapie"/>
        <w:jc w:val="both"/>
      </w:pPr>
      <w:r w:rsidRPr="001A6072">
        <w:rPr>
          <w:sz w:val="16"/>
          <w:szCs w:val="16"/>
        </w:rPr>
        <w:t>2. Por la tramitación de proceso judicial o arbitral que sea necesario para la determinación de la responsabilidad del proveedor, postor, contratista o experto independiente, en el respectivo procedimiento administrativo sancionador. En el caso de procesos arbitrales, se entenderá iniciada la tramitación a partir de la instalación del árbitro o tribunal arbitral. En tales supuestos, la suspensión del plazo surtirá efectos a partir del acuerdo del Tribunal que así lo determine y en tanto dicho órgano no sea comunicado de la sentencia judicial o laudo que dé término al proceso.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50D" w:rsidRDefault="009E650D" w:rsidP="009E650D">
    <w:pPr>
      <w:pStyle w:val="Encabezado"/>
      <w:rPr>
        <w:noProof/>
      </w:rPr>
    </w:pPr>
    <w:r>
      <w:rPr>
        <w:noProof/>
      </w:rPr>
      <w:drawing>
        <wp:anchor distT="0" distB="0" distL="114300" distR="114300" simplePos="0" relativeHeight="251659264"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9E650D" w:rsidRDefault="009E650D" w:rsidP="009E650D">
    <w:pPr>
      <w:pStyle w:val="Encabezado"/>
      <w:rPr>
        <w:noProof/>
      </w:rPr>
    </w:pPr>
  </w:p>
  <w:p w:rsidR="009E650D" w:rsidRDefault="009E650D" w:rsidP="009E650D">
    <w:pPr>
      <w:pStyle w:val="Encabezado"/>
      <w:jc w:val="center"/>
      <w:rPr>
        <w:rFonts w:ascii="Monotype Corsiva" w:hAnsi="Monotype Corsiva"/>
        <w:b/>
        <w:sz w:val="44"/>
        <w:szCs w:val="44"/>
      </w:rPr>
    </w:pPr>
  </w:p>
  <w:p w:rsidR="009E650D" w:rsidRDefault="009E650D" w:rsidP="009E650D">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1316-2011-TC-S1</w:t>
    </w:r>
  </w:p>
  <w:p w:rsidR="009E650D" w:rsidRDefault="009E650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1210F6D"/>
    <w:multiLevelType w:val="hybridMultilevel"/>
    <w:tmpl w:val="1576C102"/>
    <w:lvl w:ilvl="0" w:tplc="14206E02">
      <w:start w:val="9"/>
      <w:numFmt w:val="decimal"/>
      <w:lvlText w:val="%1."/>
      <w:lvlJc w:val="left"/>
      <w:pPr>
        <w:tabs>
          <w:tab w:val="num" w:pos="1680"/>
        </w:tabs>
        <w:ind w:left="1680" w:hanging="360"/>
      </w:pPr>
      <w:rPr>
        <w:rFonts w:ascii="Tahoma" w:hAnsi="Tahoma" w:hint="default"/>
        <w:b/>
        <w:i w:val="0"/>
        <w:color w:val="auto"/>
        <w:sz w:val="20"/>
        <w:szCs w:val="20"/>
        <w:u w:val="none"/>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2">
    <w:nsid w:val="03FA3E39"/>
    <w:multiLevelType w:val="hybridMultilevel"/>
    <w:tmpl w:val="63AC2896"/>
    <w:lvl w:ilvl="0" w:tplc="666C9DE2">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0D89661A"/>
    <w:multiLevelType w:val="hybridMultilevel"/>
    <w:tmpl w:val="63F06F2C"/>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65109CF8">
      <w:start w:val="1"/>
      <w:numFmt w:val="lowerRoman"/>
      <w:lvlText w:val="(%3)"/>
      <w:lvlJc w:val="left"/>
      <w:pPr>
        <w:tabs>
          <w:tab w:val="num" w:pos="2700"/>
        </w:tabs>
        <w:ind w:left="2700" w:hanging="720"/>
      </w:pPr>
      <w:rPr>
        <w:rFonts w:hint="default"/>
        <w:b/>
        <w:sz w:val="20"/>
        <w:szCs w:val="20"/>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nsid w:val="2D7C2DCC"/>
    <w:multiLevelType w:val="multilevel"/>
    <w:tmpl w:val="1B2A9BA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2">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3">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4">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6">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7">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9">
    <w:nsid w:val="45A74DF4"/>
    <w:multiLevelType w:val="hybridMultilevel"/>
    <w:tmpl w:val="C2DE4A56"/>
    <w:lvl w:ilvl="0" w:tplc="A5705B54">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0">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3">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6">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7">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8">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9">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0">
    <w:nsid w:val="7FD864EF"/>
    <w:multiLevelType w:val="hybridMultilevel"/>
    <w:tmpl w:val="022A51C2"/>
    <w:lvl w:ilvl="0" w:tplc="4E0EE90C">
      <w:start w:val="2"/>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4"/>
  </w:num>
  <w:num w:numId="4">
    <w:abstractNumId w:val="2"/>
  </w:num>
  <w:num w:numId="5">
    <w:abstractNumId w:val="29"/>
  </w:num>
  <w:num w:numId="6">
    <w:abstractNumId w:val="25"/>
  </w:num>
  <w:num w:numId="7">
    <w:abstractNumId w:val="23"/>
  </w:num>
  <w:num w:numId="8">
    <w:abstractNumId w:val="28"/>
  </w:num>
  <w:num w:numId="9">
    <w:abstractNumId w:val="21"/>
  </w:num>
  <w:num w:numId="10">
    <w:abstractNumId w:val="17"/>
  </w:num>
  <w:num w:numId="11">
    <w:abstractNumId w:val="5"/>
  </w:num>
  <w:num w:numId="12">
    <w:abstractNumId w:val="13"/>
  </w:num>
  <w:num w:numId="13">
    <w:abstractNumId w:val="3"/>
  </w:num>
  <w:num w:numId="14">
    <w:abstractNumId w:val="15"/>
  </w:num>
  <w:num w:numId="15">
    <w:abstractNumId w:val="22"/>
  </w:num>
  <w:num w:numId="16">
    <w:abstractNumId w:val="12"/>
  </w:num>
  <w:num w:numId="17">
    <w:abstractNumId w:val="24"/>
  </w:num>
  <w:num w:numId="18">
    <w:abstractNumId w:val="11"/>
  </w:num>
  <w:num w:numId="19">
    <w:abstractNumId w:val="26"/>
  </w:num>
  <w:num w:numId="20">
    <w:abstractNumId w:val="16"/>
  </w:num>
  <w:num w:numId="21">
    <w:abstractNumId w:val="7"/>
  </w:num>
  <w:num w:numId="22">
    <w:abstractNumId w:val="18"/>
  </w:num>
  <w:num w:numId="23">
    <w:abstractNumId w:val="9"/>
  </w:num>
  <w:num w:numId="24">
    <w:abstractNumId w:val="4"/>
  </w:num>
  <w:num w:numId="25">
    <w:abstractNumId w:val="0"/>
  </w:num>
  <w:num w:numId="26">
    <w:abstractNumId w:val="27"/>
  </w:num>
  <w:num w:numId="27">
    <w:abstractNumId w:val="2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9"/>
  </w:num>
  <w:num w:numId="32">
    <w:abstractNumId w:val="10"/>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E13E6B"/>
    <w:rsid w:val="00000BF4"/>
    <w:rsid w:val="00016207"/>
    <w:rsid w:val="00027FB1"/>
    <w:rsid w:val="00036145"/>
    <w:rsid w:val="00041FBA"/>
    <w:rsid w:val="00050A76"/>
    <w:rsid w:val="0005582F"/>
    <w:rsid w:val="00076C20"/>
    <w:rsid w:val="00082DF1"/>
    <w:rsid w:val="000B0A8A"/>
    <w:rsid w:val="000B0CEB"/>
    <w:rsid w:val="000B6C24"/>
    <w:rsid w:val="000D61B8"/>
    <w:rsid w:val="000E3E0B"/>
    <w:rsid w:val="000E5424"/>
    <w:rsid w:val="001016D9"/>
    <w:rsid w:val="001337F7"/>
    <w:rsid w:val="00140241"/>
    <w:rsid w:val="00140DE4"/>
    <w:rsid w:val="00163673"/>
    <w:rsid w:val="00164CC7"/>
    <w:rsid w:val="001776B6"/>
    <w:rsid w:val="00187209"/>
    <w:rsid w:val="00187E2A"/>
    <w:rsid w:val="001C1FA6"/>
    <w:rsid w:val="001C5BD6"/>
    <w:rsid w:val="001D44C0"/>
    <w:rsid w:val="001E448B"/>
    <w:rsid w:val="001E71F0"/>
    <w:rsid w:val="001F5C44"/>
    <w:rsid w:val="00206094"/>
    <w:rsid w:val="00214D5E"/>
    <w:rsid w:val="00222218"/>
    <w:rsid w:val="0022267E"/>
    <w:rsid w:val="00231184"/>
    <w:rsid w:val="0023169C"/>
    <w:rsid w:val="00254249"/>
    <w:rsid w:val="002837D2"/>
    <w:rsid w:val="00295C50"/>
    <w:rsid w:val="002D57D9"/>
    <w:rsid w:val="00331E1A"/>
    <w:rsid w:val="003430DE"/>
    <w:rsid w:val="00351F6F"/>
    <w:rsid w:val="00360AFE"/>
    <w:rsid w:val="003B4F9C"/>
    <w:rsid w:val="004245AF"/>
    <w:rsid w:val="004255A5"/>
    <w:rsid w:val="00440D71"/>
    <w:rsid w:val="00442AC8"/>
    <w:rsid w:val="004515EA"/>
    <w:rsid w:val="00455F96"/>
    <w:rsid w:val="00466DC8"/>
    <w:rsid w:val="00484F8C"/>
    <w:rsid w:val="004A2DC1"/>
    <w:rsid w:val="004B72CA"/>
    <w:rsid w:val="004C487F"/>
    <w:rsid w:val="004C5043"/>
    <w:rsid w:val="004D6B6F"/>
    <w:rsid w:val="004E1A73"/>
    <w:rsid w:val="004F2CC5"/>
    <w:rsid w:val="004F4E97"/>
    <w:rsid w:val="00531D1E"/>
    <w:rsid w:val="005521E5"/>
    <w:rsid w:val="00567032"/>
    <w:rsid w:val="0057348B"/>
    <w:rsid w:val="00595709"/>
    <w:rsid w:val="005B0EEA"/>
    <w:rsid w:val="005B1E24"/>
    <w:rsid w:val="005E3E1C"/>
    <w:rsid w:val="005E6E6D"/>
    <w:rsid w:val="005F3C91"/>
    <w:rsid w:val="0060176F"/>
    <w:rsid w:val="00606935"/>
    <w:rsid w:val="00635F2E"/>
    <w:rsid w:val="00642EE3"/>
    <w:rsid w:val="00645B41"/>
    <w:rsid w:val="0065269D"/>
    <w:rsid w:val="006550D3"/>
    <w:rsid w:val="006B6377"/>
    <w:rsid w:val="006C0A94"/>
    <w:rsid w:val="006C2E41"/>
    <w:rsid w:val="006C5B6A"/>
    <w:rsid w:val="006D0A8D"/>
    <w:rsid w:val="006D2E88"/>
    <w:rsid w:val="006E4E4E"/>
    <w:rsid w:val="006E5571"/>
    <w:rsid w:val="006E5BF8"/>
    <w:rsid w:val="006F0656"/>
    <w:rsid w:val="006F3B1E"/>
    <w:rsid w:val="0074555F"/>
    <w:rsid w:val="007570AE"/>
    <w:rsid w:val="00763CC8"/>
    <w:rsid w:val="00766749"/>
    <w:rsid w:val="007728C3"/>
    <w:rsid w:val="00797C9F"/>
    <w:rsid w:val="007A198C"/>
    <w:rsid w:val="007D7DEB"/>
    <w:rsid w:val="007D7E70"/>
    <w:rsid w:val="007E4F29"/>
    <w:rsid w:val="007E6B15"/>
    <w:rsid w:val="008011A4"/>
    <w:rsid w:val="00822C2F"/>
    <w:rsid w:val="00826B5E"/>
    <w:rsid w:val="00835165"/>
    <w:rsid w:val="008422E3"/>
    <w:rsid w:val="00844EE9"/>
    <w:rsid w:val="008734E8"/>
    <w:rsid w:val="00903A92"/>
    <w:rsid w:val="009066F9"/>
    <w:rsid w:val="00920048"/>
    <w:rsid w:val="0092385F"/>
    <w:rsid w:val="0092699F"/>
    <w:rsid w:val="00932E06"/>
    <w:rsid w:val="00952222"/>
    <w:rsid w:val="00982D52"/>
    <w:rsid w:val="00992FEE"/>
    <w:rsid w:val="00993C05"/>
    <w:rsid w:val="009B3C77"/>
    <w:rsid w:val="009C2CF7"/>
    <w:rsid w:val="009E1F2A"/>
    <w:rsid w:val="009E3BC8"/>
    <w:rsid w:val="009E650D"/>
    <w:rsid w:val="00A31AA8"/>
    <w:rsid w:val="00A36836"/>
    <w:rsid w:val="00A52C81"/>
    <w:rsid w:val="00A9776E"/>
    <w:rsid w:val="00AA6BAC"/>
    <w:rsid w:val="00AA7525"/>
    <w:rsid w:val="00AB0F61"/>
    <w:rsid w:val="00AD4AB5"/>
    <w:rsid w:val="00AE41DD"/>
    <w:rsid w:val="00B05429"/>
    <w:rsid w:val="00B06760"/>
    <w:rsid w:val="00B1735A"/>
    <w:rsid w:val="00B25FCD"/>
    <w:rsid w:val="00B31BA1"/>
    <w:rsid w:val="00B71CFC"/>
    <w:rsid w:val="00BD122E"/>
    <w:rsid w:val="00BE51B2"/>
    <w:rsid w:val="00BE67EB"/>
    <w:rsid w:val="00C100CC"/>
    <w:rsid w:val="00C127C1"/>
    <w:rsid w:val="00C15ECB"/>
    <w:rsid w:val="00C5251B"/>
    <w:rsid w:val="00C650AF"/>
    <w:rsid w:val="00C8148D"/>
    <w:rsid w:val="00C866D0"/>
    <w:rsid w:val="00C866DB"/>
    <w:rsid w:val="00CB4799"/>
    <w:rsid w:val="00CC3859"/>
    <w:rsid w:val="00CC52A3"/>
    <w:rsid w:val="00D002B4"/>
    <w:rsid w:val="00D069FF"/>
    <w:rsid w:val="00D115F8"/>
    <w:rsid w:val="00D13BC9"/>
    <w:rsid w:val="00D43251"/>
    <w:rsid w:val="00D445DC"/>
    <w:rsid w:val="00D66D64"/>
    <w:rsid w:val="00DA127C"/>
    <w:rsid w:val="00DA2C25"/>
    <w:rsid w:val="00DB2F75"/>
    <w:rsid w:val="00DB756D"/>
    <w:rsid w:val="00DC3001"/>
    <w:rsid w:val="00DD1154"/>
    <w:rsid w:val="00DD589B"/>
    <w:rsid w:val="00E124B8"/>
    <w:rsid w:val="00E13E6B"/>
    <w:rsid w:val="00E1470E"/>
    <w:rsid w:val="00E633EF"/>
    <w:rsid w:val="00E77676"/>
    <w:rsid w:val="00E964AA"/>
    <w:rsid w:val="00EC4953"/>
    <w:rsid w:val="00EE4815"/>
    <w:rsid w:val="00EE7A6B"/>
    <w:rsid w:val="00F3647A"/>
    <w:rsid w:val="00F4438A"/>
    <w:rsid w:val="00F50510"/>
    <w:rsid w:val="00F66D53"/>
    <w:rsid w:val="00F77525"/>
    <w:rsid w:val="00F95796"/>
    <w:rsid w:val="00FE5BF4"/>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E13E6B"/>
    <w:pPr>
      <w:tabs>
        <w:tab w:val="center" w:pos="4252"/>
        <w:tab w:val="right" w:pos="8504"/>
      </w:tabs>
    </w:pPr>
  </w:style>
  <w:style w:type="character" w:customStyle="1" w:styleId="PiedepginaCar">
    <w:name w:val="Pie de página Car"/>
    <w:basedOn w:val="Fuentedeprrafopredeter"/>
    <w:link w:val="Piedepgina"/>
    <w:uiPriority w:val="99"/>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uiPriority w:val="99"/>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uiPriority w:val="99"/>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uiPriority w:val="99"/>
    <w:rsid w:val="00E13E6B"/>
    <w:rPr>
      <w:rFonts w:cs="Times New Roman"/>
      <w:vertAlign w:val="superscript"/>
    </w:rPr>
  </w:style>
  <w:style w:type="paragraph" w:styleId="Prrafodelista">
    <w:name w:val="List Paragraph"/>
    <w:basedOn w:val="Normal"/>
    <w:uiPriority w:val="34"/>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customStyle="1" w:styleId="msonormalcxspmiddle">
    <w:name w:val="msonormalcxspmiddle"/>
    <w:basedOn w:val="Normal"/>
    <w:rsid w:val="005E6E6D"/>
    <w:pPr>
      <w:spacing w:before="100" w:beforeAutospacing="1" w:after="100" w:afterAutospacing="1"/>
    </w:pPr>
    <w:rPr>
      <w:rFonts w:eastAsia="Times New Roman"/>
    </w:rPr>
  </w:style>
  <w:style w:type="paragraph" w:customStyle="1" w:styleId="WW-Textosinformato">
    <w:name w:val="WW-Texto sin formato"/>
    <w:basedOn w:val="Normal"/>
    <w:rsid w:val="00076C20"/>
    <w:pPr>
      <w:suppressAutoHyphens/>
    </w:pPr>
    <w:rPr>
      <w:rFonts w:ascii="Courier New" w:eastAsia="MS Mincho" w:hAnsi="Courier New"/>
      <w:sz w:val="20"/>
      <w:szCs w:val="20"/>
      <w:lang w:val="es-PE"/>
    </w:rPr>
  </w:style>
  <w:style w:type="paragraph" w:styleId="Encabezado">
    <w:name w:val="header"/>
    <w:aliases w:val="maria,h"/>
    <w:basedOn w:val="Normal"/>
    <w:link w:val="EncabezadoCar"/>
    <w:uiPriority w:val="99"/>
    <w:unhideWhenUsed/>
    <w:rsid w:val="004F4E97"/>
    <w:pPr>
      <w:tabs>
        <w:tab w:val="center" w:pos="4252"/>
        <w:tab w:val="right" w:pos="8504"/>
      </w:tabs>
    </w:pPr>
  </w:style>
  <w:style w:type="character" w:customStyle="1" w:styleId="EncabezadoCar">
    <w:name w:val="Encabezado Car"/>
    <w:aliases w:val="maria Car,h Car"/>
    <w:basedOn w:val="Fuentedeprrafopredeter"/>
    <w:link w:val="Encabezado"/>
    <w:uiPriority w:val="99"/>
    <w:rsid w:val="004F4E97"/>
    <w:rPr>
      <w:rFonts w:ascii="Times New Roman" w:eastAsia="Calibri" w:hAnsi="Times New Roman" w:cs="Times New Roman"/>
      <w:sz w:val="24"/>
      <w:szCs w:val="24"/>
      <w:lang w:eastAsia="es-ES"/>
    </w:rPr>
  </w:style>
  <w:style w:type="paragraph" w:styleId="Ttulo">
    <w:name w:val="Title"/>
    <w:basedOn w:val="Normal"/>
    <w:next w:val="Normal"/>
    <w:link w:val="TtuloCar"/>
    <w:uiPriority w:val="10"/>
    <w:qFormat/>
    <w:rsid w:val="009E650D"/>
    <w:pPr>
      <w:suppressAutoHyphens/>
      <w:spacing w:before="240" w:after="60"/>
      <w:jc w:val="center"/>
      <w:outlineLvl w:val="0"/>
    </w:pPr>
    <w:rPr>
      <w:rFonts w:ascii="Cambria" w:eastAsia="Times New Roman" w:hAnsi="Cambria"/>
      <w:b/>
      <w:bCs/>
      <w:kern w:val="28"/>
      <w:sz w:val="32"/>
      <w:szCs w:val="32"/>
      <w:lang w:val="es-ES_tradnl" w:eastAsia="es-PE"/>
    </w:rPr>
  </w:style>
  <w:style w:type="character" w:customStyle="1" w:styleId="TtuloCar">
    <w:name w:val="Título Car"/>
    <w:basedOn w:val="Fuentedeprrafopredeter"/>
    <w:link w:val="Ttulo"/>
    <w:uiPriority w:val="10"/>
    <w:rsid w:val="009E650D"/>
    <w:rPr>
      <w:rFonts w:ascii="Cambria" w:eastAsia="Times New Roman" w:hAnsi="Cambria" w:cs="Times New Roman"/>
      <w:b/>
      <w:bCs/>
      <w:kern w:val="28"/>
      <w:sz w:val="32"/>
      <w:szCs w:val="32"/>
      <w:lang w:val="es-ES_tradnl" w:eastAsia="es-PE"/>
    </w:rPr>
  </w:style>
</w:styles>
</file>

<file path=word/webSettings.xml><?xml version="1.0" encoding="utf-8"?>
<w:webSettings xmlns:r="http://schemas.openxmlformats.org/officeDocument/2006/relationships" xmlns:w="http://schemas.openxmlformats.org/wordprocessingml/2006/main">
  <w:divs>
    <w:div w:id="59841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7</Pages>
  <Words>2790</Words>
  <Characters>15346</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131</cp:revision>
  <cp:lastPrinted>2011-07-25T20:35:00Z</cp:lastPrinted>
  <dcterms:created xsi:type="dcterms:W3CDTF">2010-04-16T12:41:00Z</dcterms:created>
  <dcterms:modified xsi:type="dcterms:W3CDTF">2011-08-15T15:13:00Z</dcterms:modified>
</cp:coreProperties>
</file>